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6D" w:rsidRPr="002C2375" w:rsidRDefault="0047646D" w:rsidP="0047646D">
      <w:pPr>
        <w:spacing w:after="0" w:line="240" w:lineRule="auto"/>
        <w:ind w:firstLine="539"/>
        <w:jc w:val="center"/>
        <w:rPr>
          <w:rFonts w:ascii="Times New Roman" w:hAnsi="Times New Roman"/>
          <w:b/>
          <w:sz w:val="20"/>
          <w:szCs w:val="20"/>
        </w:rPr>
      </w:pPr>
      <w:r w:rsidRPr="002C2375">
        <w:rPr>
          <w:rFonts w:ascii="Times New Roman" w:hAnsi="Times New Roman"/>
          <w:b/>
          <w:sz w:val="20"/>
          <w:szCs w:val="20"/>
        </w:rPr>
        <w:t xml:space="preserve">Повідомлення про </w:t>
      </w:r>
      <w:r w:rsidRPr="002C2375">
        <w:rPr>
          <w:rFonts w:ascii="Times New Roman" w:eastAsia="MS Mincho" w:hAnsi="Times New Roman"/>
          <w:b/>
          <w:sz w:val="20"/>
          <w:szCs w:val="20"/>
        </w:rPr>
        <w:t xml:space="preserve">результати голосування по порядку денному </w:t>
      </w:r>
    </w:p>
    <w:p w:rsidR="0047646D" w:rsidRPr="002C2375" w:rsidRDefault="0047646D" w:rsidP="0047646D">
      <w:pPr>
        <w:spacing w:after="0" w:line="240" w:lineRule="auto"/>
        <w:ind w:firstLine="539"/>
        <w:jc w:val="center"/>
        <w:rPr>
          <w:rFonts w:ascii="Times New Roman" w:hAnsi="Times New Roman"/>
          <w:b/>
          <w:bCs/>
          <w:sz w:val="20"/>
          <w:szCs w:val="20"/>
        </w:rPr>
      </w:pPr>
      <w:r w:rsidRPr="002C2375">
        <w:rPr>
          <w:rFonts w:ascii="Times New Roman" w:hAnsi="Times New Roman"/>
          <w:b/>
          <w:bCs/>
          <w:sz w:val="20"/>
          <w:szCs w:val="20"/>
        </w:rPr>
        <w:t>поза</w:t>
      </w:r>
      <w:r w:rsidR="00C237DD">
        <w:rPr>
          <w:rFonts w:ascii="Times New Roman" w:hAnsi="Times New Roman"/>
          <w:b/>
          <w:bCs/>
          <w:sz w:val="20"/>
          <w:szCs w:val="20"/>
          <w:lang w:val="ru-RU"/>
        </w:rPr>
        <w:t>ч</w:t>
      </w:r>
      <w:r w:rsidRPr="002C2375">
        <w:rPr>
          <w:rFonts w:ascii="Times New Roman" w:hAnsi="Times New Roman"/>
          <w:b/>
          <w:bCs/>
          <w:sz w:val="20"/>
          <w:szCs w:val="20"/>
        </w:rPr>
        <w:t xml:space="preserve">ергових Загальних зборів акціонерів </w:t>
      </w:r>
      <w:r w:rsidR="008731EB" w:rsidRPr="002C2375">
        <w:rPr>
          <w:rFonts w:ascii="Times New Roman CYR" w:hAnsi="Times New Roman CYR" w:cs="Times New Roman CYR"/>
          <w:b/>
          <w:bCs/>
          <w:sz w:val="20"/>
          <w:szCs w:val="20"/>
        </w:rPr>
        <w:t>15.12.2017 року</w:t>
      </w:r>
    </w:p>
    <w:p w:rsidR="0047646D" w:rsidRPr="002C2375" w:rsidRDefault="0047646D" w:rsidP="0047646D">
      <w:pPr>
        <w:spacing w:after="0" w:line="240" w:lineRule="auto"/>
        <w:ind w:firstLine="539"/>
        <w:jc w:val="center"/>
        <w:rPr>
          <w:rFonts w:ascii="Times New Roman" w:hAnsi="Times New Roman"/>
          <w:b/>
          <w:bCs/>
          <w:sz w:val="20"/>
          <w:szCs w:val="20"/>
        </w:rPr>
      </w:pPr>
      <w:r w:rsidRPr="002C2375">
        <w:rPr>
          <w:rFonts w:ascii="Times New Roman" w:hAnsi="Times New Roman"/>
          <w:b/>
          <w:bCs/>
          <w:sz w:val="20"/>
          <w:szCs w:val="20"/>
        </w:rPr>
        <w:t>ПУБЛІЧНОГО АКЦОНЕРНОГО ТОВАРИСТВА</w:t>
      </w:r>
    </w:p>
    <w:p w:rsidR="0047646D" w:rsidRPr="002C2375" w:rsidRDefault="0047646D" w:rsidP="0047646D">
      <w:pPr>
        <w:spacing w:after="0" w:line="240" w:lineRule="auto"/>
        <w:ind w:firstLine="539"/>
        <w:jc w:val="center"/>
        <w:rPr>
          <w:rFonts w:ascii="Times New Roman" w:hAnsi="Times New Roman"/>
          <w:b/>
          <w:bCs/>
          <w:sz w:val="20"/>
          <w:szCs w:val="20"/>
        </w:rPr>
      </w:pPr>
      <w:r w:rsidRPr="002C2375">
        <w:rPr>
          <w:rFonts w:ascii="Times New Roman" w:hAnsi="Times New Roman"/>
          <w:b/>
          <w:bCs/>
          <w:sz w:val="20"/>
          <w:szCs w:val="20"/>
        </w:rPr>
        <w:t>«ЧЕРКАСЬКЕ ХІМВОЛОКНО»</w:t>
      </w:r>
    </w:p>
    <w:p w:rsidR="008F5C9E" w:rsidRPr="008F5C9E" w:rsidRDefault="008F5C9E" w:rsidP="008F5C9E">
      <w:pPr>
        <w:widowControl w:val="0"/>
        <w:autoSpaceDE w:val="0"/>
        <w:autoSpaceDN w:val="0"/>
        <w:adjustRightInd w:val="0"/>
        <w:spacing w:after="0" w:line="240" w:lineRule="auto"/>
        <w:jc w:val="both"/>
        <w:rPr>
          <w:rFonts w:ascii="Times New Roman CYR" w:hAnsi="Times New Roman CYR" w:cs="Times New Roman CYR"/>
          <w:sz w:val="19"/>
          <w:szCs w:val="19"/>
        </w:rPr>
      </w:pPr>
      <w:r w:rsidRPr="008F5C9E">
        <w:rPr>
          <w:rFonts w:ascii="Times New Roman CYR" w:hAnsi="Times New Roman CYR" w:cs="Times New Roman CYR"/>
          <w:sz w:val="19"/>
          <w:szCs w:val="19"/>
        </w:rPr>
        <w:t>Для участі в загальних зборах зареєструвалися 33 (тридцять три) особи, яким належить 471 647 677 (чотириста сімдесят один мільйон шістсот сорок сім тисяч шістсот сімдесят сім) штук голосуючих простих іменних акцій Товариства, що становить 97,86427% від загальної кількості голосуючих простих іменних акцій. Кворум загальних зборів становить 97,86427%.</w:t>
      </w:r>
    </w:p>
    <w:p w:rsidR="0047646D" w:rsidRPr="008F5C9E" w:rsidRDefault="008F5C9E" w:rsidP="008F5C9E">
      <w:pPr>
        <w:widowControl w:val="0"/>
        <w:autoSpaceDE w:val="0"/>
        <w:autoSpaceDN w:val="0"/>
        <w:adjustRightInd w:val="0"/>
        <w:spacing w:after="0" w:line="240" w:lineRule="auto"/>
        <w:jc w:val="both"/>
        <w:rPr>
          <w:rFonts w:ascii="Times New Roman CYR" w:hAnsi="Times New Roman CYR" w:cs="Times New Roman CYR"/>
          <w:bCs/>
          <w:sz w:val="19"/>
          <w:szCs w:val="19"/>
        </w:rPr>
      </w:pPr>
      <w:r w:rsidRPr="008F5C9E">
        <w:rPr>
          <w:rFonts w:ascii="Times New Roman CYR" w:hAnsi="Times New Roman CYR" w:cs="Times New Roman CYR"/>
          <w:bCs/>
          <w:sz w:val="19"/>
          <w:szCs w:val="19"/>
        </w:rPr>
        <w:t>Згідно зі статтею 41 Закону України "Про акціонерні товариства" позачергові загальні збори акціонерів Товариства мають кворум з усіх питань порядку денного.</w:t>
      </w:r>
    </w:p>
    <w:p w:rsidR="0047646D" w:rsidRPr="007D226D" w:rsidRDefault="0047646D" w:rsidP="0047646D">
      <w:pPr>
        <w:widowControl w:val="0"/>
        <w:autoSpaceDE w:val="0"/>
        <w:autoSpaceDN w:val="0"/>
        <w:adjustRightInd w:val="0"/>
        <w:spacing w:after="0" w:line="240" w:lineRule="auto"/>
        <w:jc w:val="both"/>
        <w:rPr>
          <w:rFonts w:ascii="Times New Roman" w:hAnsi="Times New Roman"/>
          <w:b/>
          <w:sz w:val="19"/>
          <w:szCs w:val="19"/>
          <w:u w:val="single"/>
        </w:rPr>
      </w:pPr>
      <w:r w:rsidRPr="003C229D">
        <w:rPr>
          <w:rFonts w:ascii="Times New Roman" w:hAnsi="Times New Roman"/>
          <w:sz w:val="19"/>
          <w:szCs w:val="19"/>
        </w:rPr>
        <w:t>Всього зареєстровано (голосів</w:t>
      </w:r>
      <w:r w:rsidRPr="007D226D">
        <w:rPr>
          <w:rFonts w:ascii="Times New Roman" w:hAnsi="Times New Roman"/>
          <w:b/>
          <w:sz w:val="19"/>
          <w:szCs w:val="19"/>
        </w:rPr>
        <w:t xml:space="preserve">):  </w:t>
      </w:r>
      <w:r w:rsidR="00655155" w:rsidRPr="007D226D">
        <w:rPr>
          <w:rFonts w:ascii="Times New Roman CYR" w:hAnsi="Times New Roman CYR" w:cs="Times New Roman CYR"/>
          <w:b/>
          <w:sz w:val="19"/>
          <w:szCs w:val="19"/>
          <w:u w:val="single"/>
        </w:rPr>
        <w:t>471 647 677</w:t>
      </w:r>
    </w:p>
    <w:p w:rsidR="00A77869" w:rsidRPr="00A77869" w:rsidRDefault="00A77869" w:rsidP="00A77869">
      <w:pPr>
        <w:widowControl w:val="0"/>
        <w:autoSpaceDE w:val="0"/>
        <w:autoSpaceDN w:val="0"/>
        <w:adjustRightInd w:val="0"/>
        <w:spacing w:after="0" w:line="240" w:lineRule="auto"/>
        <w:jc w:val="both"/>
        <w:rPr>
          <w:rFonts w:ascii="Times New Roman CYR" w:hAnsi="Times New Roman CYR" w:cs="Times New Roman CYR"/>
          <w:sz w:val="19"/>
          <w:szCs w:val="19"/>
        </w:rPr>
      </w:pPr>
      <w:r w:rsidRPr="00A77869">
        <w:rPr>
          <w:rFonts w:ascii="Times New Roman CYR" w:hAnsi="Times New Roman CYR" w:cs="Times New Roman CYR"/>
          <w:b/>
          <w:bCs/>
          <w:sz w:val="19"/>
          <w:szCs w:val="19"/>
        </w:rPr>
        <w:t xml:space="preserve">З ПИТАННЯ 1 ПОРЯДКУ ДЕННОГО: Обрання голови та членів лічильної комісії позачергових загальних зборів акціонерів. </w:t>
      </w:r>
    </w:p>
    <w:p w:rsidR="0047646D" w:rsidRPr="00903C96" w:rsidRDefault="0047646D" w:rsidP="00A518BB">
      <w:pPr>
        <w:widowControl w:val="0"/>
        <w:autoSpaceDE w:val="0"/>
        <w:autoSpaceDN w:val="0"/>
        <w:adjustRightInd w:val="0"/>
        <w:spacing w:after="0" w:line="240" w:lineRule="auto"/>
        <w:jc w:val="both"/>
        <w:rPr>
          <w:rFonts w:ascii="Times New Roman CYR" w:hAnsi="Times New Roman CYR" w:cs="Times New Roman CYR"/>
          <w:b/>
          <w:i/>
          <w:sz w:val="19"/>
          <w:szCs w:val="19"/>
        </w:rPr>
      </w:pPr>
      <w:r w:rsidRPr="00903C96">
        <w:rPr>
          <w:rFonts w:ascii="Times New Roman CYR" w:hAnsi="Times New Roman CYR" w:cs="Times New Roman CYR"/>
          <w:b/>
          <w:bCs/>
          <w:sz w:val="19"/>
          <w:szCs w:val="19"/>
        </w:rPr>
        <w:t xml:space="preserve">Підсумки голосування: </w:t>
      </w:r>
      <w:r w:rsidRPr="00903C96">
        <w:rPr>
          <w:rFonts w:ascii="Times New Roman CYR" w:hAnsi="Times New Roman CYR" w:cs="Times New Roman CYR"/>
          <w:sz w:val="19"/>
          <w:szCs w:val="19"/>
        </w:rPr>
        <w:t xml:space="preserve">"ЗА" – </w:t>
      </w:r>
      <w:r w:rsidRPr="00903C96">
        <w:rPr>
          <w:rFonts w:ascii="Times New Roman CYR" w:hAnsi="Times New Roman CYR" w:cs="Times New Roman CYR"/>
          <w:b/>
          <w:sz w:val="19"/>
          <w:szCs w:val="19"/>
        </w:rPr>
        <w:t>471 64</w:t>
      </w:r>
      <w:r>
        <w:rPr>
          <w:rFonts w:ascii="Times New Roman CYR" w:hAnsi="Times New Roman CYR" w:cs="Times New Roman CYR"/>
          <w:b/>
          <w:sz w:val="19"/>
          <w:szCs w:val="19"/>
        </w:rPr>
        <w:t>7</w:t>
      </w:r>
      <w:r w:rsidRPr="00903C96">
        <w:rPr>
          <w:rFonts w:ascii="Times New Roman CYR" w:hAnsi="Times New Roman CYR" w:cs="Times New Roman CYR"/>
          <w:b/>
          <w:sz w:val="19"/>
          <w:szCs w:val="19"/>
        </w:rPr>
        <w:t xml:space="preserve"> </w:t>
      </w:r>
      <w:r>
        <w:rPr>
          <w:rFonts w:ascii="Times New Roman CYR" w:hAnsi="Times New Roman CYR" w:cs="Times New Roman CYR"/>
          <w:b/>
          <w:sz w:val="19"/>
          <w:szCs w:val="19"/>
        </w:rPr>
        <w:t>67</w:t>
      </w:r>
      <w:r w:rsidRPr="00903C96">
        <w:rPr>
          <w:rFonts w:ascii="Times New Roman CYR" w:hAnsi="Times New Roman CYR" w:cs="Times New Roman CYR"/>
          <w:b/>
          <w:sz w:val="19"/>
          <w:szCs w:val="19"/>
        </w:rPr>
        <w:t xml:space="preserve">7 </w:t>
      </w:r>
      <w:r w:rsidRPr="00903C96">
        <w:rPr>
          <w:rFonts w:ascii="Times New Roman CYR" w:hAnsi="Times New Roman CYR" w:cs="Times New Roman CYR"/>
          <w:sz w:val="19"/>
          <w:szCs w:val="19"/>
        </w:rPr>
        <w:t>голосів, що становить 100% від кількості голосів акціонерів, які зареєструвалися для участі у загальних зборах</w:t>
      </w:r>
      <w:r>
        <w:rPr>
          <w:rFonts w:ascii="Times New Roman CYR" w:hAnsi="Times New Roman CYR" w:cs="Times New Roman CYR"/>
          <w:sz w:val="19"/>
          <w:szCs w:val="19"/>
        </w:rPr>
        <w:t xml:space="preserve"> та є власниками голосуючих простих іменних акцій</w:t>
      </w:r>
      <w:r w:rsidRPr="00903C96">
        <w:rPr>
          <w:rFonts w:ascii="Times New Roman CYR" w:hAnsi="Times New Roman CYR" w:cs="Times New Roman CYR"/>
          <w:sz w:val="19"/>
          <w:szCs w:val="19"/>
        </w:rPr>
        <w:t>. "ПРОТИ" - 0 голосів, що становить 0% від кількості голосів акціонерів, які зареєструвалися для участі у загальних зборах</w:t>
      </w:r>
      <w:r>
        <w:rPr>
          <w:rFonts w:ascii="Times New Roman CYR" w:hAnsi="Times New Roman CYR" w:cs="Times New Roman CYR"/>
          <w:sz w:val="19"/>
          <w:szCs w:val="19"/>
        </w:rPr>
        <w:t xml:space="preserve"> та є власниками голосуючих простих іменних акцій</w:t>
      </w:r>
      <w:r w:rsidRPr="00903C96">
        <w:rPr>
          <w:rFonts w:ascii="Times New Roman CYR" w:hAnsi="Times New Roman CYR" w:cs="Times New Roman CYR"/>
          <w:sz w:val="19"/>
          <w:szCs w:val="19"/>
        </w:rPr>
        <w:t>. "УТРИМАВСЯ" - 0 голосів, що становить 0% від кількості голосів акціонерів, які зареєструвалися для участі у загальних зборах</w:t>
      </w:r>
      <w:r>
        <w:rPr>
          <w:rFonts w:ascii="Times New Roman CYR" w:hAnsi="Times New Roman CYR" w:cs="Times New Roman CYR"/>
          <w:sz w:val="19"/>
          <w:szCs w:val="19"/>
        </w:rPr>
        <w:t xml:space="preserve"> та є власниками голосуючих простих іменних акцій</w:t>
      </w:r>
      <w:r w:rsidRPr="00903C96">
        <w:rPr>
          <w:rFonts w:ascii="Times New Roman CYR" w:hAnsi="Times New Roman CYR" w:cs="Times New Roman CYR"/>
          <w:sz w:val="19"/>
          <w:szCs w:val="19"/>
        </w:rPr>
        <w:t>. Не брали участь у голосуванні - 0 голосів, що становить 0% від кількості голосів акціонерів, які зареєструвалися для участі у загальних зборах</w:t>
      </w:r>
      <w:r w:rsidRPr="0047646D">
        <w:rPr>
          <w:rFonts w:ascii="Times New Roman CYR" w:hAnsi="Times New Roman CYR" w:cs="Times New Roman CYR"/>
          <w:sz w:val="19"/>
          <w:szCs w:val="19"/>
        </w:rPr>
        <w:t xml:space="preserve"> </w:t>
      </w:r>
      <w:r>
        <w:rPr>
          <w:rFonts w:ascii="Times New Roman CYR" w:hAnsi="Times New Roman CYR" w:cs="Times New Roman CYR"/>
          <w:sz w:val="19"/>
          <w:szCs w:val="19"/>
        </w:rPr>
        <w:t>та є власниками голосуючих простих іменних акцій</w:t>
      </w:r>
      <w:r w:rsidRPr="00903C96">
        <w:rPr>
          <w:rFonts w:ascii="Times New Roman CYR" w:hAnsi="Times New Roman CYR" w:cs="Times New Roman CYR"/>
          <w:sz w:val="19"/>
          <w:szCs w:val="19"/>
        </w:rPr>
        <w:t xml:space="preserve"> </w:t>
      </w:r>
      <w:r>
        <w:rPr>
          <w:rFonts w:ascii="Times New Roman CYR" w:hAnsi="Times New Roman CYR" w:cs="Times New Roman CYR"/>
          <w:sz w:val="19"/>
          <w:szCs w:val="19"/>
        </w:rPr>
        <w:t xml:space="preserve">. </w:t>
      </w:r>
      <w:r w:rsidRPr="00903C96">
        <w:rPr>
          <w:rFonts w:ascii="Times New Roman CYR" w:hAnsi="Times New Roman CYR" w:cs="Times New Roman CYR"/>
          <w:sz w:val="19"/>
          <w:szCs w:val="19"/>
        </w:rPr>
        <w:t>За бюлетенями, визнаними недійсними - 0 голосів, що становить 0% кількості голосів акціонерів, які зареєструвалися для участі у загальних зборах</w:t>
      </w:r>
      <w:r>
        <w:rPr>
          <w:rFonts w:ascii="Times New Roman CYR" w:hAnsi="Times New Roman CYR" w:cs="Times New Roman CYR"/>
          <w:sz w:val="19"/>
          <w:szCs w:val="19"/>
        </w:rPr>
        <w:t xml:space="preserve"> та є власниками голосуючих простих іменних акцій</w:t>
      </w:r>
      <w:r w:rsidRPr="00903C96">
        <w:rPr>
          <w:rFonts w:ascii="Times New Roman CYR" w:hAnsi="Times New Roman CYR" w:cs="Times New Roman CYR"/>
          <w:sz w:val="19"/>
          <w:szCs w:val="19"/>
        </w:rPr>
        <w:t xml:space="preserve">. </w:t>
      </w:r>
      <w:r w:rsidRPr="00903C96">
        <w:rPr>
          <w:rFonts w:ascii="Times New Roman CYR" w:hAnsi="Times New Roman CYR" w:cs="Times New Roman CYR"/>
          <w:b/>
          <w:bCs/>
          <w:sz w:val="19"/>
          <w:szCs w:val="19"/>
        </w:rPr>
        <w:t xml:space="preserve">Рішення прийнято. </w:t>
      </w:r>
      <w:r>
        <w:rPr>
          <w:rFonts w:ascii="Times New Roman CYR" w:hAnsi="Times New Roman CYR" w:cs="Times New Roman CYR"/>
          <w:b/>
          <w:bCs/>
          <w:sz w:val="19"/>
          <w:szCs w:val="19"/>
        </w:rPr>
        <w:t xml:space="preserve"> </w:t>
      </w:r>
      <w:r w:rsidRPr="00903C96">
        <w:rPr>
          <w:rFonts w:ascii="Times New Roman CYR" w:hAnsi="Times New Roman CYR" w:cs="Times New Roman CYR"/>
          <w:b/>
          <w:i/>
          <w:sz w:val="19"/>
          <w:szCs w:val="19"/>
        </w:rPr>
        <w:t xml:space="preserve">Для роз’яснення щодо порядку голосування, проведення підрахунку голосів під час голосувань, оформлення результатів голосувань з пропозицій до порядку денного, а також для вирішення інших питань пов’язаних із забезпеченням проведення голосування на </w:t>
      </w:r>
      <w:r>
        <w:rPr>
          <w:rFonts w:ascii="Times New Roman CYR" w:hAnsi="Times New Roman CYR" w:cs="Times New Roman CYR"/>
          <w:b/>
          <w:i/>
          <w:sz w:val="19"/>
          <w:szCs w:val="19"/>
        </w:rPr>
        <w:t xml:space="preserve">позачергових </w:t>
      </w:r>
      <w:r w:rsidRPr="00903C96">
        <w:rPr>
          <w:rFonts w:ascii="Times New Roman CYR" w:hAnsi="Times New Roman CYR" w:cs="Times New Roman CYR"/>
          <w:b/>
          <w:i/>
          <w:sz w:val="19"/>
          <w:szCs w:val="19"/>
        </w:rPr>
        <w:t xml:space="preserve">загальних зборах акціонерів необхідно обрати лічильну комісію </w:t>
      </w:r>
      <w:r>
        <w:rPr>
          <w:rFonts w:ascii="Times New Roman CYR" w:hAnsi="Times New Roman CYR" w:cs="Times New Roman CYR"/>
          <w:b/>
          <w:i/>
          <w:sz w:val="19"/>
          <w:szCs w:val="19"/>
        </w:rPr>
        <w:t xml:space="preserve">позачергових </w:t>
      </w:r>
      <w:r w:rsidRPr="00903C96">
        <w:rPr>
          <w:rFonts w:ascii="Times New Roman CYR" w:hAnsi="Times New Roman CYR" w:cs="Times New Roman CYR"/>
          <w:b/>
          <w:i/>
          <w:sz w:val="19"/>
          <w:szCs w:val="19"/>
        </w:rPr>
        <w:t xml:space="preserve">загальних зборів акціонерів в такому складі: 1. Дахненко Анастасія Володимирівна - голова комісії; 2. </w:t>
      </w:r>
      <w:r>
        <w:rPr>
          <w:rFonts w:ascii="Times New Roman CYR" w:hAnsi="Times New Roman CYR" w:cs="Times New Roman CYR"/>
          <w:b/>
          <w:i/>
          <w:sz w:val="19"/>
          <w:szCs w:val="19"/>
        </w:rPr>
        <w:t>Мігулько Ольга Олександрівна</w:t>
      </w:r>
      <w:r w:rsidRPr="00903C96">
        <w:rPr>
          <w:rFonts w:ascii="Times New Roman CYR" w:hAnsi="Times New Roman CYR" w:cs="Times New Roman CYR"/>
          <w:b/>
          <w:i/>
          <w:sz w:val="19"/>
          <w:szCs w:val="19"/>
        </w:rPr>
        <w:t xml:space="preserve"> - член комісії; 3. Маринченко Лариса Михайлівна - член комісії.</w:t>
      </w:r>
    </w:p>
    <w:p w:rsidR="00A77869" w:rsidRPr="00A77869" w:rsidRDefault="00A77869" w:rsidP="00A77869">
      <w:pPr>
        <w:widowControl w:val="0"/>
        <w:autoSpaceDE w:val="0"/>
        <w:autoSpaceDN w:val="0"/>
        <w:adjustRightInd w:val="0"/>
        <w:spacing w:after="0" w:line="240" w:lineRule="auto"/>
        <w:jc w:val="both"/>
        <w:rPr>
          <w:rFonts w:ascii="Times New Roman CYR" w:hAnsi="Times New Roman CYR" w:cs="Times New Roman CYR"/>
          <w:sz w:val="19"/>
          <w:szCs w:val="19"/>
        </w:rPr>
      </w:pPr>
      <w:r w:rsidRPr="00A77869">
        <w:rPr>
          <w:rFonts w:ascii="Times New Roman CYR" w:hAnsi="Times New Roman CYR" w:cs="Times New Roman CYR"/>
          <w:b/>
          <w:bCs/>
          <w:sz w:val="19"/>
          <w:szCs w:val="19"/>
        </w:rPr>
        <w:t xml:space="preserve">З ПИТАННЯ 2 ПОРЯДКУ ДЕННОГО: Надання попередньої згоди на укладення Товариством правочинів.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w:hAnsi="Times New Roman"/>
          <w:b/>
          <w:bCs/>
          <w:sz w:val="19"/>
          <w:szCs w:val="19"/>
        </w:rPr>
        <w:t>Підсумки голосування:</w:t>
      </w:r>
      <w:r w:rsidR="00A77869">
        <w:rPr>
          <w:rFonts w:ascii="Times New Roman" w:hAnsi="Times New Roman"/>
          <w:b/>
          <w:bCs/>
          <w:sz w:val="19"/>
          <w:szCs w:val="19"/>
        </w:rPr>
        <w:t xml:space="preserve"> </w:t>
      </w:r>
      <w:r w:rsidRPr="00A518BB">
        <w:rPr>
          <w:rFonts w:ascii="Times New Roman CYR" w:hAnsi="Times New Roman CYR" w:cs="Times New Roman CYR"/>
          <w:sz w:val="19"/>
          <w:szCs w:val="19"/>
        </w:rPr>
        <w:t xml:space="preserve">"ЗА" - </w:t>
      </w:r>
      <w:r w:rsidRPr="003C229D">
        <w:rPr>
          <w:rFonts w:ascii="Times New Roman CYR" w:hAnsi="Times New Roman CYR" w:cs="Times New Roman CYR"/>
          <w:b/>
          <w:sz w:val="19"/>
          <w:szCs w:val="19"/>
        </w:rPr>
        <w:t>471 647 677</w:t>
      </w:r>
      <w:r w:rsidRPr="00A518BB">
        <w:rPr>
          <w:rFonts w:ascii="Times New Roman CYR" w:hAnsi="Times New Roman CYR" w:cs="Times New Roman CYR"/>
          <w:sz w:val="19"/>
          <w:szCs w:val="19"/>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3C229D">
        <w:rPr>
          <w:rFonts w:ascii="Times New Roman CYR" w:hAnsi="Times New Roman CYR" w:cs="Times New Roman CYR"/>
          <w:sz w:val="19"/>
          <w:szCs w:val="19"/>
        </w:rPr>
        <w:t xml:space="preserve"> </w:t>
      </w:r>
      <w:r w:rsidRPr="00A518BB">
        <w:rPr>
          <w:rFonts w:ascii="Times New Roman CYR" w:hAnsi="Times New Roman CYR" w:cs="Times New Roman CYR"/>
          <w:sz w:val="19"/>
          <w:szCs w:val="19"/>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C229D">
        <w:rPr>
          <w:rFonts w:ascii="Times New Roman CYR" w:hAnsi="Times New Roman CYR" w:cs="Times New Roman CYR"/>
          <w:sz w:val="19"/>
          <w:szCs w:val="19"/>
        </w:rPr>
        <w:t xml:space="preserve"> </w:t>
      </w:r>
      <w:r w:rsidRPr="00A518BB">
        <w:rPr>
          <w:rFonts w:ascii="Times New Roman CYR" w:hAnsi="Times New Roman CYR" w:cs="Times New Roman CYR"/>
          <w:sz w:val="19"/>
          <w:szCs w:val="19"/>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C229D">
        <w:rPr>
          <w:rFonts w:ascii="Times New Roman CYR" w:hAnsi="Times New Roman CYR" w:cs="Times New Roman CYR"/>
          <w:sz w:val="19"/>
          <w:szCs w:val="19"/>
        </w:rPr>
        <w:t xml:space="preserve"> </w:t>
      </w:r>
      <w:r w:rsidRPr="00A518BB">
        <w:rPr>
          <w:rFonts w:ascii="Times New Roman CYR" w:hAnsi="Times New Roman CYR" w:cs="Times New Roman CYR"/>
          <w:sz w:val="19"/>
          <w:szCs w:val="19"/>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b/>
          <w:bCs/>
          <w:sz w:val="19"/>
          <w:szCs w:val="19"/>
        </w:rPr>
        <w:t>Прийняте рішення:</w:t>
      </w:r>
      <w:r w:rsidR="00A77869">
        <w:rPr>
          <w:rFonts w:ascii="Times New Roman CYR" w:hAnsi="Times New Roman CYR" w:cs="Times New Roman CYR"/>
          <w:b/>
          <w:bCs/>
          <w:sz w:val="19"/>
          <w:szCs w:val="19"/>
        </w:rPr>
        <w:t xml:space="preserve"> </w:t>
      </w:r>
      <w:r w:rsidRPr="00A518BB">
        <w:rPr>
          <w:rFonts w:ascii="Times New Roman CYR" w:hAnsi="Times New Roman CYR" w:cs="Times New Roman CYR"/>
          <w:sz w:val="19"/>
          <w:szCs w:val="19"/>
        </w:rPr>
        <w:t>Надати Товариству згоду на збільшення обсягу відповідальності Товариства за Договором поруки №193-П/17 від 04.09.2017 р. та надати Товариству згоду на укладення із Публічним акціонерним товариством “АЛЬФА-БАНК” (надалі - Банк) Додаткової угоди до Договору поруки №193-П/17 від 04.09.2017 р. (надалі  - Додаткова угода-1), у відповідності з якою Товариство поручиться перед ПАТ «АЛЬФА-БАНК»  за виконання ТОВАРИСТВОМ З ОБМЕЖЕНОЮ ВІДПОВІДАЛЬНІСТЮ ФІРМА «ТЕХНОВА» (далі – Боржник 1) у повному обсязі своїх обов‘язків за Договором про відкриття кредитної лінії № 62-МВ/17 від 04.09.2017 (надалі – Кредитний договір 1), згідно з умовами якого Банк відкриє/відкрив відновлювану мультивалютну кредитну лінію з наступними умовами:</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 ліміт кредитної лінії - не більше ніж сума, що еквівалентна170 000 000,00 (сімдесят мільйонів) гривень та змінюється згідно з графіком, що передбачений у Кредитному договорі 1, з можливістю надання у межах кредитної лінії коштів у гривнях та доларах США, та євро;</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w:t>
      </w:r>
      <w:r w:rsidRPr="00A518BB">
        <w:rPr>
          <w:rFonts w:ascii="Times New Roman CYR" w:hAnsi="Times New Roman CYR" w:cs="Times New Roman CYR"/>
          <w:sz w:val="19"/>
          <w:szCs w:val="19"/>
        </w:rPr>
        <w:tab/>
        <w:t>строк дії кредитної лінії не більше ніж по 31.08.2020 р. (включно);</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w:t>
      </w:r>
      <w:r w:rsidRPr="00A518BB">
        <w:rPr>
          <w:rFonts w:ascii="Times New Roman CYR" w:hAnsi="Times New Roman CYR" w:cs="Times New Roman CYR"/>
          <w:sz w:val="19"/>
          <w:szCs w:val="19"/>
        </w:rPr>
        <w:tab/>
        <w:t xml:space="preserve">розмір процентів за користування кредитною лінією - не більше 30% (тридцяти відсотків) річних за користування  частиною  кредиту  наданою  у гривні,  не більше 15% (п’ятнадцяти відсотків) річних за користування  частиною  кредиту  наданою у доларах США та  не більше 15% (п’ятнадцяти відсотків) річних за користування  частиною  кредиту  наданою у євро.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 xml:space="preserve">Надати згоду на будь-які майбутні зміни Кредитного договору 1, в тому числі такі, внаслідок яких відбудеться  збільшення обсягу відповідальності Товариства як поручителя, зокрема, але не виключно, будь-які зміни Кредитного договору 1, внаслідок яких збільшується розмір частини (траншу) кредитної лінії, строк користування частиною (траншем) кредитної лінії та/або розмір процентів за користування кредитною лінією/траншем, та/або розмір комісійних винагород, та/або розмір неустойки (пені, штрафів), та/або розмір будь-яких інших платежів, які Боржник 1 згідно з Кредитним договором 1 повинен сплачувати Банку та за виконання яких Товариство поручилось згідно з договором поруки, і погодитися з тим, що такі зміни  не є підставою  для припинення поруки наданої Товариством та не потребують окремого рішення Загальних зборів акціонерів і  встановлена порука залишиться чинною  протягом строку дії договору поруки, а Товариство буде відповідати перед Банком у тому ж обсязі, що і Боржник 1, з урахуванням  будь-яких майбутніх змін обсягу відповідальності Боржника 1 за Кредитним договором 1.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 xml:space="preserve">Дана згода є  безумовною,  безвідкличною і не обмеженою строком дії.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Уповноважити Голову правління або уповноважену ним особу визначати та змінювати решту умов Додаткової угоди-1 та підписати Додаткову угоду до Договору поруки №193-П/17 від 04.09.2017 р. від імені Товариства, а також вносити зміни в решту умов Договору поруки №193-П/17 від 04.09.2017 р. та підписувати пов’язані з цими змінами всі додаткові угоди до нього, що будуть укладатися в майбутньому.</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Надати Товариству згоду на збільшення обсягу відповідальності Товариства за Договором поруки №202-П/17 від 04.09.2017 р. та надати Товариству згоду на укладення із ПУБЛІЧНИМ АКЦІОНЕРНИМ ТОВАРИСТВОМ “АЛЬФА-БАНК” (надалі - Банк) Додаткової угоди до Договору поруки №202-П/17 від 04.09.2017 р. (надалі  - Додаткова угода-2), у відповідності з якою Товариство поручилося перед ПАТ «АЛЬФА-БАНК»  за виконання ТОВАРИСТВОМ З ОБМЕЖЕНОЮ ВІДПОВІДАЛЬНІСТЮ "ЄВРО-</w:t>
      </w:r>
      <w:r w:rsidRPr="00A518BB">
        <w:rPr>
          <w:rFonts w:ascii="Times New Roman CYR" w:hAnsi="Times New Roman CYR" w:cs="Times New Roman CYR"/>
          <w:sz w:val="19"/>
          <w:szCs w:val="19"/>
        </w:rPr>
        <w:lastRenderedPageBreak/>
        <w:t>РЕКОНСТРУКЦІЯ" (надалі – Боржник 2)  у повному обсязі своїх обов‘язків за Договором про відкриття кредитної лінії № 64-МВ/17 від 04.09.2017 р. (надалі – Кредитний договір 2), згідно з умовами якого Банк відкриє/відкрив відновлювану мультивалютну кредитну лінію з наступними умовами:</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  ліміт кредитної лінії  не більше ніж сума, що еквівалентна</w:t>
      </w:r>
      <w:r w:rsidR="003C229D">
        <w:rPr>
          <w:rFonts w:ascii="Times New Roman CYR" w:hAnsi="Times New Roman CYR" w:cs="Times New Roman CYR"/>
          <w:sz w:val="19"/>
          <w:szCs w:val="19"/>
        </w:rPr>
        <w:t xml:space="preserve"> </w:t>
      </w:r>
      <w:r w:rsidRPr="00A518BB">
        <w:rPr>
          <w:rFonts w:ascii="Times New Roman CYR" w:hAnsi="Times New Roman CYR" w:cs="Times New Roman CYR"/>
          <w:sz w:val="19"/>
          <w:szCs w:val="19"/>
        </w:rPr>
        <w:t>165 000 000,00 (Сто шістдесят п‘ять мільйонів) гривень та змінюється згідно з графіком, що передбачений у Кредитному договорі 2, з можливістю надання у межах кредитної лінії коштів у гривнях та доларах США;</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w:t>
      </w:r>
      <w:r w:rsidRPr="00A518BB">
        <w:rPr>
          <w:rFonts w:ascii="Times New Roman CYR" w:hAnsi="Times New Roman CYR" w:cs="Times New Roman CYR"/>
          <w:sz w:val="19"/>
          <w:szCs w:val="19"/>
        </w:rPr>
        <w:tab/>
        <w:t>строк дії кредитної лінії не більше ніж по 31.08.2020 р. (включно);</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w:t>
      </w:r>
      <w:r w:rsidRPr="00A518BB">
        <w:rPr>
          <w:rFonts w:ascii="Times New Roman CYR" w:hAnsi="Times New Roman CYR" w:cs="Times New Roman CYR"/>
          <w:sz w:val="19"/>
          <w:szCs w:val="19"/>
        </w:rPr>
        <w:tab/>
        <w:t xml:space="preserve">розмір процентів за користування кредитною лінією не більше 30% (тридцяти відсотків) річних за користування  частиною  кредиту  наданою  у гривні, не більше 15% (п’ятнадцяти відсотків) річних за користування  частиною  кредиту  наданою у доларах США та  не більше 15% (п’ятнадцяти відсотків) річних за користування  частиною  кредиту  наданою у євро.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 xml:space="preserve">Надати згоду на будь-які майбутні зміни Кредитного договору 2, в тому числі такі, внаслідок яких відбудеться  збільшення обсягу відповідальності Товариства як поручителя, зокрема, але не виключно, будь-які зміни Кредитного договору 2, внаслідок яких збільшується розмір частини (траншу) кредитної лінії, строк користування частиною (траншем) кредитної лінії та/або розмір процентів за користування кредитною лінією/траншем, та/або розмір комісійних винагород, та/або розмір неустойки (пені, штрафів), та/або розмір будь-яких інших платежів, які Боржник 2 згідно з Кредитним договором 2 повинен сплачувати Банку та за виконання яких Товариство поручилось згідно з договором поруки, і погодитися з тим, що такі зміни  не є підставою  для припинення поруки наданої Товариством та не потребують окремого рішення Загальних зборів акціонерів і  встановлена порука залишиться чинною  протягом строку дії договору поруки, а Товариство буде відповідати перед Банком у тому ж обсязі, що і Боржник 2, з урахуванням  будь-яких майбутніх змін обсягу відповідальності Боржника 2 за Кредитним договором 2.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 xml:space="preserve">Дана згода є  безумовною,  безвідкличною і не обмеженою строком дії. </w:t>
      </w:r>
    </w:p>
    <w:p w:rsidR="0047646D" w:rsidRPr="00A518BB" w:rsidRDefault="0047646D" w:rsidP="0047646D">
      <w:pPr>
        <w:widowControl w:val="0"/>
        <w:autoSpaceDE w:val="0"/>
        <w:autoSpaceDN w:val="0"/>
        <w:adjustRightInd w:val="0"/>
        <w:spacing w:after="0" w:line="240" w:lineRule="auto"/>
        <w:jc w:val="both"/>
        <w:rPr>
          <w:rFonts w:ascii="Times New Roman CYR" w:hAnsi="Times New Roman CYR" w:cs="Times New Roman CYR"/>
          <w:sz w:val="19"/>
          <w:szCs w:val="19"/>
        </w:rPr>
      </w:pPr>
      <w:r w:rsidRPr="00A518BB">
        <w:rPr>
          <w:rFonts w:ascii="Times New Roman CYR" w:hAnsi="Times New Roman CYR" w:cs="Times New Roman CYR"/>
          <w:sz w:val="19"/>
          <w:szCs w:val="19"/>
        </w:rPr>
        <w:t>Уповноважити Голову правління або уповноважену ним особу визначати та змінювати решту умов Додаткової угоди-2 та підписати Додаткову угоду до Договору поруки №202-П/17 від 04.09.2017 р. від імені Товариства, а також вносити зміни в решту умов Договору поруки №202-П/17 від 04.09.2017 р. та підписувати пов’язані з цими змінами всі додаткові угоди до нього, що будуть укладатися в майбутньому.</w:t>
      </w:r>
    </w:p>
    <w:p w:rsidR="003C229D" w:rsidRDefault="003C229D" w:rsidP="008731EB">
      <w:pPr>
        <w:ind w:left="708" w:firstLine="708"/>
        <w:rPr>
          <w:rFonts w:ascii="Times New Roman" w:hAnsi="Times New Roman"/>
          <w:sz w:val="19"/>
          <w:szCs w:val="19"/>
        </w:rPr>
      </w:pPr>
      <w:bookmarkStart w:id="0" w:name="_GoBack"/>
      <w:bookmarkEnd w:id="0"/>
      <w:r w:rsidRPr="003C229D">
        <w:rPr>
          <w:rFonts w:ascii="Times New Roman" w:hAnsi="Times New Roman"/>
          <w:sz w:val="19"/>
          <w:szCs w:val="19"/>
        </w:rPr>
        <w:t xml:space="preserve">Голова правління                                      </w:t>
      </w:r>
      <w:r>
        <w:rPr>
          <w:rFonts w:ascii="Times New Roman" w:hAnsi="Times New Roman"/>
          <w:sz w:val="19"/>
          <w:szCs w:val="19"/>
        </w:rPr>
        <w:t xml:space="preserve">              </w:t>
      </w:r>
      <w:r w:rsidR="008731EB">
        <w:rPr>
          <w:rFonts w:ascii="Times New Roman" w:hAnsi="Times New Roman"/>
          <w:sz w:val="19"/>
          <w:szCs w:val="19"/>
        </w:rPr>
        <w:t xml:space="preserve">                  </w:t>
      </w:r>
      <w:r>
        <w:rPr>
          <w:rFonts w:ascii="Times New Roman" w:hAnsi="Times New Roman"/>
          <w:sz w:val="19"/>
          <w:szCs w:val="19"/>
        </w:rPr>
        <w:t xml:space="preserve">                    В.В. Олексенко</w:t>
      </w:r>
    </w:p>
    <w:p w:rsidR="003C229D" w:rsidRDefault="003C229D" w:rsidP="003C229D">
      <w:pPr>
        <w:ind w:firstLine="708"/>
        <w:rPr>
          <w:rFonts w:ascii="Times New Roman" w:hAnsi="Times New Roman"/>
          <w:sz w:val="19"/>
          <w:szCs w:val="19"/>
        </w:rPr>
      </w:pPr>
    </w:p>
    <w:p w:rsidR="003C229D" w:rsidRDefault="003C229D" w:rsidP="003C229D">
      <w:pPr>
        <w:ind w:firstLine="708"/>
        <w:rPr>
          <w:rFonts w:ascii="Times New Roman" w:hAnsi="Times New Roman"/>
          <w:sz w:val="19"/>
          <w:szCs w:val="19"/>
        </w:rPr>
      </w:pPr>
    </w:p>
    <w:p w:rsidR="003C229D" w:rsidRDefault="003C229D" w:rsidP="003C229D">
      <w:pPr>
        <w:ind w:firstLine="708"/>
        <w:rPr>
          <w:rFonts w:ascii="Times New Roman" w:hAnsi="Times New Roman"/>
          <w:sz w:val="19"/>
          <w:szCs w:val="19"/>
        </w:rPr>
      </w:pPr>
    </w:p>
    <w:p w:rsidR="003C229D" w:rsidRPr="003C229D" w:rsidRDefault="003C229D" w:rsidP="003C229D">
      <w:pPr>
        <w:ind w:firstLine="708"/>
        <w:rPr>
          <w:rFonts w:ascii="Times New Roman" w:hAnsi="Times New Roman"/>
          <w:sz w:val="19"/>
          <w:szCs w:val="19"/>
        </w:rPr>
      </w:pPr>
      <w:r w:rsidRPr="003C229D">
        <w:rPr>
          <w:rFonts w:ascii="Times New Roman" w:hAnsi="Times New Roman"/>
          <w:sz w:val="19"/>
          <w:szCs w:val="19"/>
        </w:rPr>
        <w:t xml:space="preserve">                                          </w:t>
      </w:r>
    </w:p>
    <w:p w:rsidR="003C229D" w:rsidRPr="00A518BB" w:rsidRDefault="003C229D">
      <w:pPr>
        <w:rPr>
          <w:sz w:val="19"/>
          <w:szCs w:val="19"/>
        </w:rPr>
      </w:pPr>
    </w:p>
    <w:sectPr w:rsidR="003C229D" w:rsidRPr="00A518BB" w:rsidSect="00A518BB">
      <w:footerReference w:type="default" r:id="rId6"/>
      <w:pgSz w:w="12240" w:h="15840"/>
      <w:pgMar w:top="567" w:right="624" w:bottom="567" w:left="737" w:header="708" w:footer="70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DD" w:rsidRDefault="00F533DD" w:rsidP="002049F2">
      <w:pPr>
        <w:spacing w:after="0" w:line="240" w:lineRule="auto"/>
      </w:pPr>
      <w:r>
        <w:separator/>
      </w:r>
    </w:p>
  </w:endnote>
  <w:endnote w:type="continuationSeparator" w:id="0">
    <w:p w:rsidR="00F533DD" w:rsidRDefault="00F533DD" w:rsidP="0020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C9" w:rsidRDefault="002049F2" w:rsidP="00CC0AAF">
    <w:pPr>
      <w:framePr w:wrap="auto" w:vAnchor="text" w:hAnchor="margin" w:xAlign="right" w:y="1"/>
      <w:tabs>
        <w:tab w:val="center" w:pos="4677"/>
        <w:tab w:val="right" w:pos="9355"/>
      </w:tabs>
      <w:spacing w:after="0" w:line="240" w:lineRule="auto"/>
      <w:rPr>
        <w:rFonts w:ascii="Times New Roman CYR" w:hAnsi="Times New Roman CYR" w:cs="Times New Roman CYR"/>
        <w:sz w:val="24"/>
        <w:szCs w:val="24"/>
        <w:lang w:val="ru-RU" w:eastAsia="ru-RU"/>
      </w:rPr>
    </w:pPr>
    <w:r>
      <w:rPr>
        <w:rFonts w:ascii="Times New Roman CYR" w:hAnsi="Times New Roman CYR" w:cs="Times New Roman CYR"/>
        <w:sz w:val="24"/>
        <w:szCs w:val="24"/>
        <w:lang w:val="ru-RU" w:eastAsia="ru-RU"/>
      </w:rPr>
      <w:fldChar w:fldCharType="begin"/>
    </w:r>
    <w:r w:rsidR="002C2375">
      <w:rPr>
        <w:rFonts w:ascii="Times New Roman CYR" w:hAnsi="Times New Roman CYR" w:cs="Times New Roman CYR"/>
        <w:sz w:val="24"/>
        <w:szCs w:val="24"/>
        <w:lang w:val="ru-RU" w:eastAsia="ru-RU"/>
      </w:rPr>
      <w:instrText xml:space="preserve">PAGE  </w:instrText>
    </w:r>
    <w:r>
      <w:rPr>
        <w:rFonts w:ascii="Times New Roman CYR" w:hAnsi="Times New Roman CYR" w:cs="Times New Roman CYR"/>
        <w:sz w:val="24"/>
        <w:szCs w:val="24"/>
        <w:lang w:val="ru-RU" w:eastAsia="ru-RU"/>
      </w:rPr>
      <w:fldChar w:fldCharType="separate"/>
    </w:r>
    <w:r w:rsidR="00226571">
      <w:rPr>
        <w:rFonts w:ascii="Times New Roman CYR" w:hAnsi="Times New Roman CYR" w:cs="Times New Roman CYR"/>
        <w:noProof/>
        <w:sz w:val="24"/>
        <w:szCs w:val="24"/>
        <w:lang w:val="ru-RU" w:eastAsia="ru-RU"/>
      </w:rPr>
      <w:t>2</w:t>
    </w:r>
    <w:r>
      <w:rPr>
        <w:rFonts w:ascii="Times New Roman CYR" w:hAnsi="Times New Roman CYR" w:cs="Times New Roman CYR"/>
        <w:sz w:val="24"/>
        <w:szCs w:val="24"/>
        <w:lang w:val="ru-RU" w:eastAsia="ru-RU"/>
      </w:rPr>
      <w:fldChar w:fldCharType="end"/>
    </w:r>
  </w:p>
  <w:p w:rsidR="00D16BC9" w:rsidRDefault="00F533DD" w:rsidP="00D16BC9">
    <w:pPr>
      <w:tabs>
        <w:tab w:val="center" w:pos="4677"/>
        <w:tab w:val="right" w:pos="9355"/>
      </w:tabs>
      <w:spacing w:after="0" w:line="240" w:lineRule="auto"/>
      <w:ind w:right="360"/>
      <w:rPr>
        <w:rFonts w:ascii="Times New Roman CYR" w:hAnsi="Times New Roman CYR" w:cs="Times New Roman CYR"/>
        <w:sz w:val="24"/>
        <w:szCs w:val="24"/>
        <w:lang w:val="ru-RU" w:eastAsia="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DD" w:rsidRDefault="00F533DD" w:rsidP="002049F2">
      <w:pPr>
        <w:spacing w:after="0" w:line="240" w:lineRule="auto"/>
      </w:pPr>
      <w:r>
        <w:separator/>
      </w:r>
    </w:p>
  </w:footnote>
  <w:footnote w:type="continuationSeparator" w:id="0">
    <w:p w:rsidR="00F533DD" w:rsidRDefault="00F533DD" w:rsidP="00204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646D"/>
    <w:rsid w:val="00032FB2"/>
    <w:rsid w:val="002049F2"/>
    <w:rsid w:val="00226571"/>
    <w:rsid w:val="002C2375"/>
    <w:rsid w:val="003C229D"/>
    <w:rsid w:val="0044763F"/>
    <w:rsid w:val="0047646D"/>
    <w:rsid w:val="005751C1"/>
    <w:rsid w:val="005942FD"/>
    <w:rsid w:val="00655155"/>
    <w:rsid w:val="006B0A49"/>
    <w:rsid w:val="007D226D"/>
    <w:rsid w:val="008731EB"/>
    <w:rsid w:val="008D3C2E"/>
    <w:rsid w:val="008F5C9E"/>
    <w:rsid w:val="008F7A36"/>
    <w:rsid w:val="00A518BB"/>
    <w:rsid w:val="00A77869"/>
    <w:rsid w:val="00C237DD"/>
    <w:rsid w:val="00F5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7EFC"/>
  <w15:docId w15:val="{6CB2104D-52D5-47DB-86FF-F1DEF850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46D"/>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5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6571"/>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dc:creator>
  <cp:keywords/>
  <dc:description/>
  <cp:lastModifiedBy>Офис</cp:lastModifiedBy>
  <cp:revision>14</cp:revision>
  <cp:lastPrinted>2017-12-27T07:04:00Z</cp:lastPrinted>
  <dcterms:created xsi:type="dcterms:W3CDTF">2017-12-20T09:33:00Z</dcterms:created>
  <dcterms:modified xsi:type="dcterms:W3CDTF">2017-12-27T07:04:00Z</dcterms:modified>
</cp:coreProperties>
</file>