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(для опублікування в офіційному друкованому виданні)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 ПУБЛІЧНЕ АКЦІОНЕРНЕ ТОВАРИСТВО "ЧЕРКАСЬКЕ ХІМВОЛОКНО"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Код за ЄДРПОУ: 00204033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 18013 Україна, Черкаська обл., Черкаській р-н, м. Черкаси, проспект Хіміків, буд. 76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Міжміський код</w:t>
      </w:r>
      <w:r w:rsidR="00DE6FC4">
        <w:rPr>
          <w:rFonts w:ascii="Times New Roman CYR" w:hAnsi="Times New Roman CYR" w:cs="Times New Roman CYR"/>
          <w:sz w:val="24"/>
          <w:szCs w:val="24"/>
        </w:rPr>
        <w:t xml:space="preserve">, телефон та факс: 0472397255, </w:t>
      </w:r>
      <w:r>
        <w:rPr>
          <w:rFonts w:ascii="Times New Roman CYR" w:hAnsi="Times New Roman CYR" w:cs="Times New Roman CYR"/>
          <w:sz w:val="24"/>
          <w:szCs w:val="24"/>
        </w:rPr>
        <w:t xml:space="preserve"> 0472640032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Електронна поштова адреса: 00204033@afr.com.ua, уаrn@khimvolokno.com.ua 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сторінки в мережі Інтернет, яка додатково використовується емітентом для розкриття інформації: cherkasykhimvolokno.emitents.net.ua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Вид особливої інформації або інформації про іпотечні цінні папери, сертифікати фонду операцій з нерухомістю: Відомості про прийняття рішення про попереднє надання згоди на вчинення значних правочинів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Текст Повідомлення 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Загальними зборами акціонерів ПАТ "ЧЕРКАСЬКЕ ХІМВОЛОКНО" 18.04.2017 р. було прийнято рішення про попередне надання згоди на вчинення значних правочинів (протокол №25 від 18.04.2017 р.), які можуть вчинятися Товариством у ході поточної господарської діяльності,  протягом одного року з дня проведення Загальних зборів товариства, якщо ринкова вартість майна або послуг, що є предметом значного правочину, перевищує 25 відсотків вартості активів за даними останньої річної фінансової звітності за 2016 рік, а саме: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-правочинів, направлених на укладання договорів постачання, купівлі-продажу паливно-енергетичних ресурсів - сукупна вартість таких значних угод не повинна перевищувати суми подвійної вартості активів товариства (1 826 202 тис.грн.).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-правочинів, направлених на отримання грошових коштів (укладання кредитних договорів з банками) - сукупна вартість таких значних угод не повинна перевищувати суми подвійної вартості активів товариства (1 826 202 тис.грн.).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Вартість активів емітента за даними останньої річної фінансової звітності за 2016 рік становить 913 101 тис. грн.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Гранична сукупність вартості правочинів - 1 826 202 тис. грн.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Співвідношення граничної сукупністі вартості правочинів до вартісті активів емітента за даними останньої річної фінансової звітності за 2016 рік (відсотках) - 200,0%.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Загальна кількість голосуючих простих іменних акцій 481 925 773 шт., кількість голосуючих акцій, що зареєстровані для участі у загальних зборах 471 644 087 шт., кількість голосуючих акцій, що проголосували "за" - 471 644 087 шт., кількість голосуючих акцій, що проголосували "проти" - 0 шт., рішення прийнято. 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III. Підпис 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Голова правління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Рибалка О.В.</w:t>
      </w:r>
    </w:p>
    <w:p w:rsidR="00554F88" w:rsidRDefault="00554F88" w:rsidP="00554F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19.04.2017</w:t>
      </w:r>
    </w:p>
    <w:p w:rsidR="008F7A36" w:rsidRDefault="008F7A36"/>
    <w:sectPr w:rsidR="008F7A36" w:rsidSect="007C32C5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54F88"/>
    <w:rsid w:val="00112AE0"/>
    <w:rsid w:val="00554F88"/>
    <w:rsid w:val="007C32C5"/>
    <w:rsid w:val="008F7A36"/>
    <w:rsid w:val="00D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>***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2</cp:revision>
  <dcterms:created xsi:type="dcterms:W3CDTF">2017-04-20T14:30:00Z</dcterms:created>
  <dcterms:modified xsi:type="dcterms:W3CDTF">2017-04-20T15:56:00Z</dcterms:modified>
</cp:coreProperties>
</file>