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B63" w:rsidRPr="0070339A" w:rsidRDefault="00154B63" w:rsidP="0070339A">
      <w:pPr>
        <w:shd w:val="clear" w:color="auto" w:fill="FFFFFF"/>
        <w:spacing w:after="0" w:line="240" w:lineRule="auto"/>
        <w:contextualSpacing/>
        <w:jc w:val="center"/>
        <w:textAlignment w:val="baseline"/>
        <w:rPr>
          <w:rFonts w:ascii="Times New Roman" w:eastAsia="Times New Roman" w:hAnsi="Times New Roman" w:cs="Times New Roman"/>
          <w:b/>
          <w:sz w:val="24"/>
          <w:szCs w:val="24"/>
          <w:lang w:eastAsia="ru-RU"/>
        </w:rPr>
      </w:pPr>
      <w:r w:rsidRPr="0070339A">
        <w:rPr>
          <w:rFonts w:ascii="Times New Roman" w:eastAsia="Times New Roman" w:hAnsi="Times New Roman" w:cs="Times New Roman"/>
          <w:b/>
          <w:bCs/>
          <w:sz w:val="24"/>
          <w:szCs w:val="24"/>
          <w:lang w:eastAsia="ru-RU"/>
        </w:rPr>
        <w:t>ПРИВАТНЕ АКЦІОНЕРНЕ ТОВАРИСТВО «ЧЕРКАСЬКЕ ХІМВОЛОКНО»</w:t>
      </w:r>
    </w:p>
    <w:p w:rsidR="00154B63" w:rsidRPr="0070339A" w:rsidRDefault="00154B63" w:rsidP="0070339A">
      <w:pPr>
        <w:shd w:val="clear" w:color="auto" w:fill="FFFFFF"/>
        <w:spacing w:after="0" w:line="240" w:lineRule="auto"/>
        <w:contextualSpacing/>
        <w:jc w:val="center"/>
        <w:textAlignment w:val="baseline"/>
        <w:rPr>
          <w:rFonts w:ascii="Times New Roman" w:eastAsia="Times New Roman" w:hAnsi="Times New Roman" w:cs="Times New Roman"/>
          <w:b/>
          <w:sz w:val="24"/>
          <w:szCs w:val="24"/>
          <w:lang w:eastAsia="ru-RU"/>
        </w:rPr>
      </w:pPr>
      <w:r w:rsidRPr="0070339A">
        <w:rPr>
          <w:rFonts w:ascii="Times New Roman" w:eastAsia="Times New Roman" w:hAnsi="Times New Roman" w:cs="Times New Roman"/>
          <w:b/>
          <w:bCs/>
          <w:sz w:val="24"/>
          <w:szCs w:val="24"/>
          <w:lang w:eastAsia="ru-RU"/>
        </w:rPr>
        <w:t>(код ЄДРПОУ 00204033)</w:t>
      </w:r>
    </w:p>
    <w:p w:rsidR="00154B63" w:rsidRDefault="00154B63" w:rsidP="0070339A">
      <w:pPr>
        <w:shd w:val="clear" w:color="auto" w:fill="FFFFFF"/>
        <w:spacing w:after="0" w:line="240" w:lineRule="auto"/>
        <w:contextualSpacing/>
        <w:jc w:val="center"/>
        <w:textAlignment w:val="baseline"/>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eastAsia="ru-RU"/>
        </w:rPr>
        <w:t>повідомляє про дистанційне проведення чергових загальних зборів акціонерів</w:t>
      </w:r>
    </w:p>
    <w:p w:rsidR="0070339A" w:rsidRPr="0070339A" w:rsidRDefault="0070339A" w:rsidP="0070339A">
      <w:pPr>
        <w:shd w:val="clear" w:color="auto" w:fill="FFFFFF"/>
        <w:spacing w:after="0" w:line="240" w:lineRule="auto"/>
        <w:contextualSpacing/>
        <w:jc w:val="center"/>
        <w:textAlignment w:val="baseline"/>
        <w:rPr>
          <w:rFonts w:ascii="Times New Roman" w:eastAsia="Times New Roman" w:hAnsi="Times New Roman" w:cs="Times New Roman"/>
          <w:sz w:val="24"/>
          <w:szCs w:val="24"/>
          <w:lang w:val="uk-UA" w:eastAsia="ru-RU"/>
        </w:rPr>
      </w:pP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val="uk-UA" w:eastAsia="ru-RU"/>
        </w:rPr>
        <w:t>Місцезнаходження</w:t>
      </w:r>
      <w:r w:rsidRPr="0070339A">
        <w:rPr>
          <w:rFonts w:ascii="Times New Roman" w:eastAsia="Times New Roman" w:hAnsi="Times New Roman" w:cs="Times New Roman"/>
          <w:bCs/>
          <w:sz w:val="24"/>
          <w:szCs w:val="24"/>
          <w:lang w:eastAsia="ru-RU"/>
        </w:rPr>
        <w:t xml:space="preserve"> товариства:</w:t>
      </w:r>
      <w:r w:rsidRPr="0070339A">
        <w:rPr>
          <w:rFonts w:ascii="Times New Roman" w:eastAsia="Times New Roman" w:hAnsi="Times New Roman" w:cs="Times New Roman"/>
          <w:sz w:val="24"/>
          <w:szCs w:val="24"/>
          <w:lang w:eastAsia="ru-RU"/>
        </w:rPr>
        <w:t> 18013, Україна, Черкаська обл., м. Черкаси, проспект</w:t>
      </w:r>
      <w:r w:rsidRPr="0070339A">
        <w:rPr>
          <w:rFonts w:ascii="Times New Roman" w:eastAsia="Times New Roman" w:hAnsi="Times New Roman" w:cs="Times New Roman"/>
          <w:sz w:val="24"/>
          <w:szCs w:val="24"/>
          <w:lang w:val="uk-UA" w:eastAsia="ru-RU"/>
        </w:rPr>
        <w:t xml:space="preserve"> Хіміків</w:t>
      </w:r>
      <w:r w:rsidRPr="0070339A">
        <w:rPr>
          <w:rFonts w:ascii="Times New Roman" w:eastAsia="Times New Roman" w:hAnsi="Times New Roman" w:cs="Times New Roman"/>
          <w:sz w:val="24"/>
          <w:szCs w:val="24"/>
          <w:lang w:eastAsia="ru-RU"/>
        </w:rPr>
        <w:t>, буд. 76.</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Дата, час та місце проведення загальних зборів: </w:t>
      </w:r>
      <w:r w:rsidR="00D105A5" w:rsidRPr="0070339A">
        <w:rPr>
          <w:rFonts w:ascii="Times New Roman" w:eastAsia="Times New Roman" w:hAnsi="Times New Roman" w:cs="Times New Roman"/>
          <w:bCs/>
          <w:sz w:val="24"/>
          <w:szCs w:val="24"/>
          <w:lang w:val="uk-UA" w:eastAsia="ru-RU"/>
        </w:rPr>
        <w:t>2</w:t>
      </w:r>
      <w:r w:rsidR="0070339A">
        <w:rPr>
          <w:rFonts w:ascii="Times New Roman" w:eastAsia="Times New Roman" w:hAnsi="Times New Roman" w:cs="Times New Roman"/>
          <w:bCs/>
          <w:sz w:val="24"/>
          <w:szCs w:val="24"/>
          <w:lang w:val="uk-UA" w:eastAsia="ru-RU"/>
        </w:rPr>
        <w:t>4</w:t>
      </w:r>
      <w:r w:rsidR="00D105A5" w:rsidRPr="0070339A">
        <w:rPr>
          <w:rFonts w:ascii="Times New Roman" w:eastAsia="Times New Roman" w:hAnsi="Times New Roman" w:cs="Times New Roman"/>
          <w:bCs/>
          <w:sz w:val="24"/>
          <w:szCs w:val="24"/>
          <w:lang w:val="uk-UA" w:eastAsia="ru-RU"/>
        </w:rPr>
        <w:t xml:space="preserve"> </w:t>
      </w:r>
      <w:r w:rsidR="0070339A">
        <w:rPr>
          <w:rFonts w:ascii="Times New Roman" w:eastAsia="Times New Roman" w:hAnsi="Times New Roman" w:cs="Times New Roman"/>
          <w:bCs/>
          <w:sz w:val="24"/>
          <w:szCs w:val="24"/>
          <w:lang w:val="uk-UA" w:eastAsia="ru-RU"/>
        </w:rPr>
        <w:t>жовтня</w:t>
      </w:r>
      <w:r w:rsidRPr="0070339A">
        <w:rPr>
          <w:rFonts w:ascii="Times New Roman" w:eastAsia="Times New Roman" w:hAnsi="Times New Roman" w:cs="Times New Roman"/>
          <w:bCs/>
          <w:iCs/>
          <w:sz w:val="24"/>
          <w:szCs w:val="24"/>
          <w:lang w:eastAsia="ru-RU"/>
        </w:rPr>
        <w:t xml:space="preserve"> 202</w:t>
      </w:r>
      <w:r w:rsidR="0070339A">
        <w:rPr>
          <w:rFonts w:ascii="Times New Roman" w:eastAsia="Times New Roman" w:hAnsi="Times New Roman" w:cs="Times New Roman"/>
          <w:bCs/>
          <w:iCs/>
          <w:sz w:val="24"/>
          <w:szCs w:val="24"/>
          <w:lang w:val="uk-UA" w:eastAsia="ru-RU"/>
        </w:rPr>
        <w:t>2</w:t>
      </w:r>
      <w:r w:rsidRPr="0070339A">
        <w:rPr>
          <w:rFonts w:ascii="Times New Roman" w:eastAsia="Times New Roman" w:hAnsi="Times New Roman" w:cs="Times New Roman"/>
          <w:bCs/>
          <w:iCs/>
          <w:sz w:val="24"/>
          <w:szCs w:val="24"/>
          <w:lang w:eastAsia="ru-RU"/>
        </w:rPr>
        <w:t xml:space="preserve"> року, дистанційно.</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Голосування на загальних зборах:</w:t>
      </w:r>
      <w:r w:rsidRPr="0070339A">
        <w:rPr>
          <w:rFonts w:ascii="Times New Roman" w:eastAsia="Times New Roman" w:hAnsi="Times New Roman" w:cs="Times New Roman"/>
          <w:sz w:val="24"/>
          <w:szCs w:val="24"/>
          <w:lang w:eastAsia="ru-RU"/>
        </w:rPr>
        <w:t> </w:t>
      </w:r>
      <w:r w:rsidRPr="0070339A">
        <w:rPr>
          <w:rFonts w:ascii="Times New Roman" w:eastAsia="Times New Roman" w:hAnsi="Times New Roman" w:cs="Times New Roman"/>
          <w:bCs/>
          <w:iCs/>
          <w:sz w:val="24"/>
          <w:szCs w:val="24"/>
          <w:lang w:eastAsia="ru-RU"/>
        </w:rPr>
        <w:t>початок – з 9 години дня, який зазначено як дата розміщення бюлетенів для голосування; завершення – до 18 години дня, який зазначено у повідомленні про проведення загальних зборів.</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bCs/>
          <w:sz w:val="24"/>
          <w:szCs w:val="24"/>
          <w:lang w:val="uk-UA" w:eastAsia="ru-RU"/>
        </w:rPr>
        <w:t>Час початку і закінчення реєстрації акціонерів для участі у загальних зборах:</w:t>
      </w:r>
      <w:r w:rsidRPr="0070339A">
        <w:rPr>
          <w:rFonts w:ascii="Times New Roman" w:eastAsia="Times New Roman" w:hAnsi="Times New Roman" w:cs="Times New Roman"/>
          <w:sz w:val="24"/>
          <w:szCs w:val="24"/>
          <w:lang w:eastAsia="ru-RU"/>
        </w:rPr>
        <w:t> </w:t>
      </w:r>
      <w:r w:rsidRPr="0070339A">
        <w:rPr>
          <w:rFonts w:ascii="Times New Roman" w:eastAsia="Times New Roman" w:hAnsi="Times New Roman" w:cs="Times New Roman"/>
          <w:bCs/>
          <w:iCs/>
          <w:sz w:val="24"/>
          <w:szCs w:val="24"/>
          <w:lang w:val="uk-UA" w:eastAsia="ru-RU"/>
        </w:rPr>
        <w:t>для реєстрації акціонерів (їх представників) таким акціонером (представником акціонера) подаються бюлетені для голосування депозитарній установі, яка обслуговує рахунок в цінних паперах такого акціонера, на якому обліковуються належні акціонеру акції товариства на дату складення переліку акціонерів, які мають право на участь у загальних зборах акціонерів</w:t>
      </w:r>
    </w:p>
    <w:p w:rsidR="00936B25" w:rsidRPr="0070339A" w:rsidRDefault="00936B25" w:rsidP="0070339A">
      <w:pPr>
        <w:shd w:val="clear" w:color="auto" w:fill="FFFFFF"/>
        <w:spacing w:after="0" w:line="240" w:lineRule="auto"/>
        <w:ind w:firstLine="708"/>
        <w:contextualSpacing/>
        <w:jc w:val="both"/>
        <w:textAlignment w:val="baseline"/>
        <w:rPr>
          <w:rFonts w:ascii="Times New Roman" w:hAnsi="Times New Roman" w:cs="Times New Roman"/>
          <w:sz w:val="24"/>
          <w:szCs w:val="24"/>
          <w:lang w:val="uk-UA"/>
        </w:rPr>
      </w:pPr>
      <w:r w:rsidRPr="0070339A">
        <w:rPr>
          <w:rFonts w:ascii="Times New Roman" w:hAnsi="Times New Roman" w:cs="Times New Roman"/>
          <w:sz w:val="24"/>
          <w:szCs w:val="24"/>
          <w:lang w:val="uk-UA"/>
        </w:rPr>
        <w:t>Дата складання переліку акціонерів для здійснення повідомлень акціонерам на 24 годину 0</w:t>
      </w:r>
      <w:r w:rsidR="0070339A">
        <w:rPr>
          <w:rFonts w:ascii="Times New Roman" w:hAnsi="Times New Roman" w:cs="Times New Roman"/>
          <w:sz w:val="24"/>
          <w:szCs w:val="24"/>
          <w:lang w:val="uk-UA"/>
        </w:rPr>
        <w:t>6 вересня 2022</w:t>
      </w:r>
      <w:r w:rsidRPr="0070339A">
        <w:rPr>
          <w:rFonts w:ascii="Times New Roman" w:hAnsi="Times New Roman" w:cs="Times New Roman"/>
          <w:sz w:val="24"/>
          <w:szCs w:val="24"/>
          <w:lang w:val="uk-UA"/>
        </w:rPr>
        <w:t xml:space="preserve"> року.</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Дата складання переліку акціонерів, які мають право на участь у загальних зборах</w:t>
      </w:r>
      <w:r w:rsidRPr="0070339A">
        <w:rPr>
          <w:rFonts w:ascii="Times New Roman" w:eastAsia="Times New Roman" w:hAnsi="Times New Roman" w:cs="Times New Roman"/>
          <w:sz w:val="24"/>
          <w:szCs w:val="24"/>
          <w:lang w:eastAsia="ru-RU"/>
        </w:rPr>
        <w:t xml:space="preserve"> на 24 годину </w:t>
      </w:r>
      <w:r w:rsidR="00B9340B" w:rsidRPr="0070339A">
        <w:rPr>
          <w:rFonts w:ascii="Times New Roman" w:eastAsia="Times New Roman" w:hAnsi="Times New Roman" w:cs="Times New Roman"/>
          <w:sz w:val="24"/>
          <w:szCs w:val="24"/>
          <w:lang w:val="uk-UA" w:eastAsia="ru-RU"/>
        </w:rPr>
        <w:t>1</w:t>
      </w:r>
      <w:r w:rsidR="0070339A">
        <w:rPr>
          <w:rFonts w:ascii="Times New Roman" w:eastAsia="Times New Roman" w:hAnsi="Times New Roman" w:cs="Times New Roman"/>
          <w:sz w:val="24"/>
          <w:szCs w:val="24"/>
          <w:lang w:val="uk-UA" w:eastAsia="ru-RU"/>
        </w:rPr>
        <w:t>8 жовтня 2022</w:t>
      </w:r>
      <w:r w:rsidRPr="0070339A">
        <w:rPr>
          <w:rFonts w:ascii="Times New Roman" w:eastAsia="Times New Roman" w:hAnsi="Times New Roman" w:cs="Times New Roman"/>
          <w:sz w:val="24"/>
          <w:szCs w:val="24"/>
          <w:lang w:eastAsia="ru-RU"/>
        </w:rPr>
        <w:t xml:space="preserve"> року.</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Відповідно до ч.2 ст.32 Закону України «Про акціонерні товариства», акціонерне товариство зобов’язане щороку скликати загальні збори (річні загальні збори). Прийняття рішення про проведення чергових загальних зборів відноситься до виключної компетенції наглядової ради товариства (п.3 ч.2 ст.52 Закону України «Про акціонерні товариства», п.11.18 Статуту Товариства).</w:t>
      </w:r>
    </w:p>
    <w:p w:rsidR="0070339A" w:rsidRPr="00F80DE8" w:rsidRDefault="0070339A" w:rsidP="0070339A">
      <w:pPr>
        <w:pStyle w:val="a8"/>
        <w:ind w:firstLine="720"/>
        <w:jc w:val="both"/>
        <w:rPr>
          <w:sz w:val="24"/>
          <w:szCs w:val="24"/>
          <w:lang w:val="uk-UA"/>
        </w:rPr>
      </w:pPr>
      <w:r w:rsidRPr="00F80DE8">
        <w:rPr>
          <w:sz w:val="24"/>
          <w:szCs w:val="24"/>
          <w:lang w:val="uk-UA"/>
        </w:rPr>
        <w:t xml:space="preserve">Пунктом 1 Рішення Національної комісії з цінних паперів та фондового ринку від 16.03.2022 р. № 177 </w:t>
      </w:r>
      <w:r w:rsidRPr="00F80DE8">
        <w:rPr>
          <w:rFonts w:hint="eastAsia"/>
          <w:sz w:val="24"/>
          <w:szCs w:val="24"/>
          <w:lang w:val="uk-UA"/>
        </w:rPr>
        <w:t>«</w:t>
      </w:r>
      <w:r w:rsidRPr="00F80DE8">
        <w:rPr>
          <w:sz w:val="24"/>
          <w:szCs w:val="24"/>
          <w:lang w:val="uk-UA"/>
        </w:rPr>
        <w:t>Щодо особливостей функціонування органів управління акціонерів акціонерного товариства на період дії воєнного стану»</w:t>
      </w:r>
      <w:r>
        <w:rPr>
          <w:sz w:val="24"/>
          <w:szCs w:val="24"/>
          <w:lang w:val="uk-UA"/>
        </w:rPr>
        <w:t xml:space="preserve"> </w:t>
      </w:r>
      <w:r w:rsidRPr="00F80DE8">
        <w:rPr>
          <w:sz w:val="24"/>
          <w:szCs w:val="24"/>
          <w:lang w:val="uk-UA"/>
        </w:rPr>
        <w:t>із змінами внесеними рішеннями Національної комісії з цінних паперів та фондового ринку № 250 від 04.04.2022 р., встановлено, що у період дії воєнного стану загальні збори акціонерів акціонерного товариства можуть бути проведенні виключно шляхом дистанційного проведення відповідно до Тимчасового порядку скликання та дистанційного проведення загальних зборів акціонерів та загальних зборів учасників  корпоративного інвестиційного фонду (далі – Тимчасовий порядок).</w:t>
      </w:r>
    </w:p>
    <w:p w:rsidR="0070339A" w:rsidRPr="0070339A" w:rsidRDefault="0070339A" w:rsidP="0070339A">
      <w:pPr>
        <w:pStyle w:val="a8"/>
        <w:ind w:firstLine="720"/>
        <w:jc w:val="both"/>
        <w:rPr>
          <w:sz w:val="24"/>
          <w:szCs w:val="24"/>
          <w:lang w:val="uk-UA"/>
        </w:rPr>
      </w:pPr>
      <w:r>
        <w:rPr>
          <w:sz w:val="24"/>
          <w:szCs w:val="24"/>
          <w:lang w:val="uk-UA"/>
        </w:rPr>
        <w:t>Рішенням Наглядової рпди ПРАТ «ЧЕРКАСЬКЕ ХІМВОЛОКНО» ВІД 06 вересня 2022 року (протокол №15) вирішено</w:t>
      </w:r>
      <w:r w:rsidRPr="00F80DE8">
        <w:rPr>
          <w:sz w:val="24"/>
          <w:szCs w:val="24"/>
          <w:lang w:val="uk-UA"/>
        </w:rPr>
        <w:t xml:space="preserve"> провести річні загальні збори акціонерів </w:t>
      </w:r>
      <w:r>
        <w:rPr>
          <w:sz w:val="24"/>
          <w:szCs w:val="24"/>
          <w:lang w:val="uk-UA"/>
        </w:rPr>
        <w:t>24</w:t>
      </w:r>
      <w:r w:rsidRPr="00F80DE8">
        <w:rPr>
          <w:sz w:val="24"/>
          <w:szCs w:val="24"/>
          <w:lang w:val="uk-UA"/>
        </w:rPr>
        <w:t xml:space="preserve"> </w:t>
      </w:r>
      <w:r>
        <w:rPr>
          <w:sz w:val="24"/>
          <w:szCs w:val="24"/>
          <w:lang w:val="uk-UA"/>
        </w:rPr>
        <w:t xml:space="preserve">жовтня 2022 </w:t>
      </w:r>
      <w:r w:rsidRPr="00F80DE8">
        <w:rPr>
          <w:sz w:val="24"/>
          <w:szCs w:val="24"/>
          <w:lang w:val="uk-UA"/>
        </w:rPr>
        <w:t>року дистанційно</w:t>
      </w:r>
      <w:r>
        <w:rPr>
          <w:sz w:val="24"/>
          <w:szCs w:val="24"/>
          <w:lang w:val="uk-UA"/>
        </w:rPr>
        <w:t>,</w:t>
      </w:r>
      <w:r w:rsidRPr="00F80DE8">
        <w:rPr>
          <w:sz w:val="24"/>
          <w:szCs w:val="24"/>
          <w:lang w:val="uk-UA"/>
        </w:rPr>
        <w:t xml:space="preserve"> </w:t>
      </w:r>
      <w:r w:rsidRPr="0070339A">
        <w:rPr>
          <w:sz w:val="24"/>
          <w:szCs w:val="24"/>
          <w:lang w:val="uk-UA"/>
        </w:rPr>
        <w:t>відповідно до Тимчасового порядку скликання та дистанційного проведення загальних зборів акціонерів та загальних зборів учасників корпоративного інвестиційного фонду, затвердженого рішенням Національної комісії з цінних паперів та фондового ринку 16 квітня 202</w:t>
      </w:r>
      <w:r w:rsidR="00CF6755">
        <w:rPr>
          <w:sz w:val="24"/>
          <w:szCs w:val="24"/>
          <w:lang w:val="uk-UA"/>
        </w:rPr>
        <w:t>0</w:t>
      </w:r>
      <w:r w:rsidRPr="0070339A">
        <w:rPr>
          <w:sz w:val="24"/>
          <w:szCs w:val="24"/>
          <w:lang w:val="uk-UA"/>
        </w:rPr>
        <w:t xml:space="preserve"> року №196. </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Бюлетені для голосування будуть розміщені у вільному для акціонерів доступі на власному веб-сайті www.khimvolokno.com.ua:</w:t>
      </w:r>
    </w:p>
    <w:p w:rsidR="0070339A" w:rsidRPr="00F170BF" w:rsidRDefault="0070339A" w:rsidP="0070339A">
      <w:pPr>
        <w:pStyle w:val="rvps2"/>
        <w:shd w:val="clear" w:color="auto" w:fill="FFFFFF"/>
        <w:suppressAutoHyphens/>
        <w:spacing w:before="0" w:beforeAutospacing="0" w:after="150" w:afterAutospacing="0"/>
        <w:contextualSpacing/>
        <w:jc w:val="both"/>
        <w:rPr>
          <w:lang w:val="uk-UA"/>
        </w:rPr>
      </w:pPr>
      <w:r w:rsidRPr="00F170BF">
        <w:rPr>
          <w:lang w:val="uk-UA"/>
        </w:rPr>
        <w:t xml:space="preserve">- </w:t>
      </w:r>
      <w:r w:rsidRPr="00AE0AE1">
        <w:rPr>
          <w:lang w:val="uk-UA"/>
        </w:rPr>
        <w:t xml:space="preserve">Єдиний бюлетень для голосування (крім кумулятивного голосування) </w:t>
      </w:r>
      <w:r>
        <w:rPr>
          <w:lang w:val="uk-UA"/>
        </w:rPr>
        <w:t>–</w:t>
      </w:r>
      <w:r w:rsidRPr="00AE0AE1">
        <w:rPr>
          <w:lang w:val="uk-UA"/>
        </w:rPr>
        <w:t xml:space="preserve"> 1</w:t>
      </w:r>
      <w:r>
        <w:rPr>
          <w:lang w:val="uk-UA"/>
        </w:rPr>
        <w:t>3 жовтня</w:t>
      </w:r>
      <w:r w:rsidRPr="00AE0AE1">
        <w:rPr>
          <w:lang w:val="uk-UA"/>
        </w:rPr>
        <w:t>.</w:t>
      </w:r>
      <w:r w:rsidRPr="00F170BF">
        <w:rPr>
          <w:lang w:val="uk-UA"/>
        </w:rPr>
        <w:t>2022 р;</w:t>
      </w:r>
    </w:p>
    <w:p w:rsidR="0070339A" w:rsidRPr="00F170BF" w:rsidRDefault="0070339A" w:rsidP="0070339A">
      <w:pPr>
        <w:pStyle w:val="rvps2"/>
        <w:shd w:val="clear" w:color="auto" w:fill="FFFFFF"/>
        <w:suppressAutoHyphens/>
        <w:spacing w:before="0" w:beforeAutospacing="0" w:after="150" w:afterAutospacing="0"/>
        <w:contextualSpacing/>
        <w:jc w:val="both"/>
        <w:rPr>
          <w:lang w:val="uk-UA"/>
        </w:rPr>
      </w:pPr>
      <w:r w:rsidRPr="00F170BF">
        <w:rPr>
          <w:lang w:val="uk-UA"/>
        </w:rPr>
        <w:t>-</w:t>
      </w:r>
      <w:r w:rsidRPr="00AE0AE1">
        <w:rPr>
          <w:lang w:val="uk-UA"/>
        </w:rPr>
        <w:t xml:space="preserve"> Єдиний бюлетень для  кумулятивного голосування – </w:t>
      </w:r>
      <w:r>
        <w:rPr>
          <w:lang w:val="uk-UA"/>
        </w:rPr>
        <w:t xml:space="preserve">20 жовтня </w:t>
      </w:r>
      <w:r w:rsidRPr="00AE0AE1">
        <w:rPr>
          <w:lang w:val="uk-UA"/>
        </w:rPr>
        <w:t>202</w:t>
      </w:r>
      <w:r>
        <w:rPr>
          <w:lang w:val="uk-UA"/>
        </w:rPr>
        <w:t>2</w:t>
      </w:r>
      <w:r w:rsidRPr="00AE0AE1">
        <w:rPr>
          <w:lang w:val="uk-UA"/>
        </w:rPr>
        <w:t xml:space="preserve"> р.</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xml:space="preserve">Інформація з проектом рішень щодо кожного з питань, включених до проекту порядку денного, а також інформацію, зазначену в пункті 44 Порядку, буде розміщена на власному веб-сайті www.khimvolokno.com.ua – не пізніше </w:t>
      </w:r>
      <w:r w:rsidR="0070339A">
        <w:rPr>
          <w:rFonts w:ascii="Times New Roman" w:eastAsia="Times New Roman" w:hAnsi="Times New Roman" w:cs="Times New Roman"/>
          <w:sz w:val="24"/>
          <w:szCs w:val="24"/>
          <w:lang w:val="uk-UA" w:eastAsia="ru-RU"/>
        </w:rPr>
        <w:t xml:space="preserve">23 вересня 2022 </w:t>
      </w:r>
      <w:r w:rsidRPr="0070339A">
        <w:rPr>
          <w:rFonts w:ascii="Times New Roman" w:eastAsia="Times New Roman" w:hAnsi="Times New Roman" w:cs="Times New Roman"/>
          <w:sz w:val="24"/>
          <w:szCs w:val="24"/>
          <w:lang w:eastAsia="ru-RU"/>
        </w:rPr>
        <w:t>р.</w:t>
      </w:r>
    </w:p>
    <w:p w:rsidR="0070339A" w:rsidRDefault="0070339A" w:rsidP="0070339A">
      <w:pPr>
        <w:shd w:val="clear" w:color="auto" w:fill="FFFFFF"/>
        <w:spacing w:after="0" w:line="240" w:lineRule="auto"/>
        <w:contextualSpacing/>
        <w:jc w:val="center"/>
        <w:textAlignment w:val="baseline"/>
        <w:rPr>
          <w:rFonts w:ascii="Times New Roman" w:eastAsia="Times New Roman" w:hAnsi="Times New Roman" w:cs="Times New Roman"/>
          <w:bCs/>
          <w:sz w:val="24"/>
          <w:szCs w:val="24"/>
          <w:lang w:val="uk-UA" w:eastAsia="ru-RU"/>
        </w:rPr>
      </w:pPr>
    </w:p>
    <w:p w:rsidR="0070339A" w:rsidRDefault="0070339A" w:rsidP="0070339A">
      <w:pPr>
        <w:shd w:val="clear" w:color="auto" w:fill="FFFFFF"/>
        <w:spacing w:after="0" w:line="240" w:lineRule="auto"/>
        <w:contextualSpacing/>
        <w:jc w:val="center"/>
        <w:textAlignment w:val="baseline"/>
        <w:rPr>
          <w:rFonts w:ascii="Times New Roman" w:eastAsia="Times New Roman" w:hAnsi="Times New Roman" w:cs="Times New Roman"/>
          <w:bCs/>
          <w:sz w:val="24"/>
          <w:szCs w:val="24"/>
          <w:lang w:val="uk-UA" w:eastAsia="ru-RU"/>
        </w:rPr>
      </w:pPr>
    </w:p>
    <w:p w:rsidR="00133489" w:rsidRDefault="00133489" w:rsidP="0070339A">
      <w:pPr>
        <w:shd w:val="clear" w:color="auto" w:fill="FFFFFF"/>
        <w:spacing w:after="0" w:line="240" w:lineRule="auto"/>
        <w:contextualSpacing/>
        <w:jc w:val="center"/>
        <w:textAlignment w:val="baseline"/>
        <w:rPr>
          <w:rFonts w:ascii="Times New Roman" w:eastAsia="Times New Roman" w:hAnsi="Times New Roman" w:cs="Times New Roman"/>
          <w:bCs/>
          <w:sz w:val="24"/>
          <w:szCs w:val="24"/>
          <w:lang w:val="uk-UA" w:eastAsia="ru-RU"/>
        </w:rPr>
      </w:pPr>
    </w:p>
    <w:p w:rsidR="00154B63" w:rsidRPr="0070339A" w:rsidRDefault="00154B63" w:rsidP="0070339A">
      <w:pPr>
        <w:shd w:val="clear" w:color="auto" w:fill="FFFFFF"/>
        <w:spacing w:after="0" w:line="240" w:lineRule="auto"/>
        <w:contextualSpacing/>
        <w:jc w:val="center"/>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lastRenderedPageBreak/>
        <w:t>Проект порядку денного:</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1.Обрання голови та членів лічильної комісії загальних зборів акціонерів.</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Проект рішення:</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Обрати лічильну комісію у складі 3-х осіб: голова лічильної комісії Плаха Олександр Вікторович, члени лічильної комісії Сичова Людмила Олександрівна, Гриценко Ольга Павлівна. Встановити, що повноваження голови і членів лічильної комісії припиняються одночасно із закінченням (закриттям) чергових загальних зборів акціонерів.</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2.Розгляд звіту Правління Товариства. Прийняття рішення за наслідками розгляду звіту Правління, визначення основ</w:t>
      </w:r>
      <w:r w:rsidR="00ED6061">
        <w:rPr>
          <w:rFonts w:ascii="Times New Roman" w:eastAsia="Times New Roman" w:hAnsi="Times New Roman" w:cs="Times New Roman"/>
          <w:sz w:val="24"/>
          <w:szCs w:val="24"/>
          <w:lang w:eastAsia="ru-RU"/>
        </w:rPr>
        <w:t>них напрямків діяльності на 202</w:t>
      </w:r>
      <w:r w:rsidR="00ED6061">
        <w:rPr>
          <w:rFonts w:ascii="Times New Roman" w:eastAsia="Times New Roman" w:hAnsi="Times New Roman" w:cs="Times New Roman"/>
          <w:sz w:val="24"/>
          <w:szCs w:val="24"/>
          <w:lang w:val="uk-UA" w:eastAsia="ru-RU"/>
        </w:rPr>
        <w:t>2</w:t>
      </w:r>
      <w:r w:rsidRPr="0070339A">
        <w:rPr>
          <w:rFonts w:ascii="Times New Roman" w:eastAsia="Times New Roman" w:hAnsi="Times New Roman" w:cs="Times New Roman"/>
          <w:sz w:val="24"/>
          <w:szCs w:val="24"/>
          <w:lang w:eastAsia="ru-RU"/>
        </w:rPr>
        <w:t xml:space="preserve"> рік.</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Проект рішення:</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Роботу правління за 2021 рік визнати задовільною та такою, що відповідає меті та напрямкам діяльності відповідно до Статуту Товариства. Затвердити основні напрямки діяльності Тов</w:t>
      </w:r>
      <w:r w:rsidR="00ED6061">
        <w:rPr>
          <w:rFonts w:ascii="Times New Roman" w:eastAsia="Times New Roman" w:hAnsi="Times New Roman" w:cs="Times New Roman"/>
          <w:sz w:val="24"/>
          <w:szCs w:val="24"/>
          <w:lang w:eastAsia="ru-RU"/>
        </w:rPr>
        <w:t>ариства на 202</w:t>
      </w:r>
      <w:r w:rsidR="00ED6061">
        <w:rPr>
          <w:rFonts w:ascii="Times New Roman" w:eastAsia="Times New Roman" w:hAnsi="Times New Roman" w:cs="Times New Roman"/>
          <w:sz w:val="24"/>
          <w:szCs w:val="24"/>
          <w:lang w:val="uk-UA" w:eastAsia="ru-RU"/>
        </w:rPr>
        <w:t>2</w:t>
      </w:r>
      <w:r w:rsidRPr="0070339A">
        <w:rPr>
          <w:rFonts w:ascii="Times New Roman" w:eastAsia="Times New Roman" w:hAnsi="Times New Roman" w:cs="Times New Roman"/>
          <w:sz w:val="24"/>
          <w:szCs w:val="24"/>
          <w:lang w:eastAsia="ru-RU"/>
        </w:rPr>
        <w:t xml:space="preserve"> рік.</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3.Розгляд звіту та висновків Ревізійної комісії Товариства за 2021 р., прийняття рішення за наслідками розгляду звіту Ревізійної комісії Товариства.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Проект рішення:</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Затвердити звіт та висновки Ревізійної комісії Товариства за 2021 р.</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4.Розгляд звіту Наглядової Ради ПРАТ «Черкаське хімволокно» про роботу за 2021 рік,  прийняття рішення за наслідками розгляду звіту Наглядової ради Товариства.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Проект рішення:</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Звіт Наглядової ради ПРАТ «ЧЕРКАСЬКЕ ХІМВОЛОКНО» за 2021 рік затвердити. Затвердити рішення Наглядової ради прийняті у звітному періоді. Роботу Наглядової ради за 2021 рік визнати задовільною та такою, що відповідає меті та напрямкам діяльності  відповідно до Статуту Товариства.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5.Затвердження річної фінансової звітності та річних результатів діяльності за 2021 рік.</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Проект рішення: Затвердити річну фінансову звітність та річні результати діяльності Товариства за 2021 р.</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6. Визначення порядку покриття збитків Товариства  за 2021 рік.</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Проект рішення: Збитки, отримані в 2021 р., покрити за рахунок прибутку майбутніх періодів. Розробити заходи, спрямовані на зниження витрат.</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7.Надання попередньої згоди на укладення Товариством значних правочинів.</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Проект рішення: З метою забезпечення безперебійної роботи товариства надати попередню згоду Правлінню ПРАТ «ЧЕРКАСЬКЕ ХІМВОЛОКНО» на вчинення значних правочинів, вартість яких перевищує 25 відсотків активів Товариства за 2021 рік, які будуть вчинятися акціонерним Товариством у ході поточної діяльності протягом одного року з дня проведення Загальних зборів товариства, сукупна вартість яких не перевищує п’ятикратної вартості активів товариства. Відомості щодо правочинів із зазначенням, зокрема, характеру правочинів: а саме:</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правочинів з придбання товарів, робіт, послуг, зокрема але не виключно, природного газу, вугілля;</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правочинів, направлених на отримання грошових коштів (укладання договорів позик та/або кредитів), з фінансовими установами, забезпечення виконання зобов’язань за такими договорами (гарантій, застави чи інших фінансових інструментів), забезпечення виконання зобов’язань інших юридичних осіб за договорами позик та/або кредитів, гарантій, застави чи інших фінансових інструментів шляхом укладення Товариством договорів поруки, гарантій, застави майна (майнових прав) та грошових коштів Товариства.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8. Припинення повноважень Голови та членів Наглядової ради Товариства.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xml:space="preserve">Проект рішення: Достроково припинити повноваження Голови та членів Наглядової ради,згідно з п. 11.15 розділу 11 Статуту Товариства. Припинити повноваження членів Наглядової ради: </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Яковенко Олег Олексійович;</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lastRenderedPageBreak/>
        <w:t xml:space="preserve">- Віщунов Андрій Ігорович - представник акціонера Палос Естеблішмент Лімітед; </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Дубинець Наталія Олександрівна;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Тарадай Катерина Василівна;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Трофименко Тетяна Володимирівна.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9. Обрання нового складу Наглядової ради Товариства.</w:t>
      </w:r>
    </w:p>
    <w:p w:rsidR="0070339A" w:rsidRPr="0070339A" w:rsidRDefault="0070339A"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Члени Наглядової ради Товариства обираються шляхом кумулятивного голосування.</w:t>
      </w:r>
    </w:p>
    <w:p w:rsidR="0070339A" w:rsidRPr="0070339A" w:rsidRDefault="0070339A" w:rsidP="0070339A">
      <w:pPr>
        <w:shd w:val="clear" w:color="auto" w:fill="FFFFFF"/>
        <w:contextualSpacing/>
        <w:jc w:val="both"/>
        <w:textAlignment w:val="baseline"/>
        <w:rPr>
          <w:rFonts w:ascii="Times New Roman" w:hAnsi="Times New Roman" w:cs="Times New Roman"/>
          <w:sz w:val="24"/>
          <w:szCs w:val="24"/>
          <w:lang w:val="uk-UA"/>
        </w:rPr>
      </w:pPr>
    </w:p>
    <w:p w:rsidR="0070339A" w:rsidRPr="0070339A" w:rsidRDefault="0070339A" w:rsidP="0070339A">
      <w:pPr>
        <w:shd w:val="clear" w:color="auto" w:fill="FFFFFF"/>
        <w:spacing w:after="0" w:line="240" w:lineRule="auto"/>
        <w:contextualSpacing/>
        <w:jc w:val="both"/>
        <w:textAlignment w:val="baseline"/>
        <w:rPr>
          <w:rFonts w:ascii="Times New Roman" w:eastAsia="Times New Roman" w:hAnsi="Times New Roman" w:cs="Times New Roman"/>
          <w:sz w:val="24"/>
          <w:szCs w:val="24"/>
          <w:lang w:val="uk-UA" w:eastAsia="ru-RU"/>
        </w:rPr>
      </w:pPr>
    </w:p>
    <w:p w:rsidR="0070339A" w:rsidRPr="0070339A" w:rsidRDefault="0070339A" w:rsidP="0070339A">
      <w:pPr>
        <w:shd w:val="clear" w:color="auto" w:fill="FFFFFF"/>
        <w:spacing w:after="0" w:line="240" w:lineRule="auto"/>
        <w:contextualSpacing/>
        <w:jc w:val="center"/>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Основні показники фінансово-господарської діяльності товариства (тис. грн.).</w:t>
      </w:r>
    </w:p>
    <w:tbl>
      <w:tblPr>
        <w:tblW w:w="9075" w:type="dxa"/>
        <w:shd w:val="clear" w:color="auto" w:fill="FFFFFF"/>
        <w:tblCellMar>
          <w:left w:w="0" w:type="dxa"/>
          <w:right w:w="0" w:type="dxa"/>
        </w:tblCellMar>
        <w:tblLook w:val="04A0"/>
      </w:tblPr>
      <w:tblGrid>
        <w:gridCol w:w="5962"/>
        <w:gridCol w:w="1595"/>
        <w:gridCol w:w="1518"/>
      </w:tblGrid>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Найменування показника</w:t>
            </w:r>
          </w:p>
        </w:tc>
        <w:tc>
          <w:tcPr>
            <w:tcW w:w="3113" w:type="dxa"/>
            <w:gridSpan w:val="2"/>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Період</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val="uk-UA" w:eastAsia="ru-RU"/>
              </w:rPr>
              <w:t>2021</w:t>
            </w:r>
            <w:r w:rsidRPr="0070339A">
              <w:rPr>
                <w:rFonts w:ascii="Times New Roman" w:eastAsia="Times New Roman" w:hAnsi="Times New Roman" w:cs="Times New Roman"/>
                <w:sz w:val="24"/>
                <w:szCs w:val="24"/>
                <w:lang w:eastAsia="ru-RU"/>
              </w:rPr>
              <w:t xml:space="preserve"> рік</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20</w:t>
            </w:r>
            <w:r w:rsidRPr="0070339A">
              <w:rPr>
                <w:rFonts w:ascii="Times New Roman" w:eastAsia="Times New Roman" w:hAnsi="Times New Roman" w:cs="Times New Roman"/>
                <w:sz w:val="24"/>
                <w:szCs w:val="24"/>
                <w:lang w:val="uk-UA" w:eastAsia="ru-RU"/>
              </w:rPr>
              <w:t>20</w:t>
            </w:r>
            <w:r w:rsidRPr="0070339A">
              <w:rPr>
                <w:rFonts w:ascii="Times New Roman" w:eastAsia="Times New Roman" w:hAnsi="Times New Roman" w:cs="Times New Roman"/>
                <w:sz w:val="24"/>
                <w:szCs w:val="24"/>
                <w:lang w:eastAsia="ru-RU"/>
              </w:rPr>
              <w:t xml:space="preserve"> рік</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Усього активів</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1021805</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878155</w:t>
            </w:r>
            <w:bookmarkStart w:id="0" w:name="_GoBack"/>
            <w:bookmarkEnd w:id="0"/>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Основні засоби (за залишковою вартістю)</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362978</w:t>
            </w:r>
          </w:p>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ab/>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381155</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Запаси</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114077</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92760</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Сумарна дебіторська заборгованість</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449780</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293975</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Грошові кошти та їх, еквіваленти</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8523</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14246</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Нерозподілений прибуток (непокритий збиток)</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-1435093</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-1325103</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Власний капітал</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-1401916</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-1290128</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Зареєстрований (пайовий/статутний) капітал</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26272</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26272</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Дострокові зобов’язання і забе</w:t>
            </w:r>
            <w:r w:rsidRPr="0070339A">
              <w:rPr>
                <w:rFonts w:ascii="Times New Roman" w:eastAsia="Times New Roman" w:hAnsi="Times New Roman" w:cs="Times New Roman"/>
                <w:sz w:val="24"/>
                <w:szCs w:val="24"/>
                <w:lang w:val="uk-UA" w:eastAsia="ru-RU"/>
              </w:rPr>
              <w:t>з</w:t>
            </w:r>
            <w:r w:rsidRPr="0070339A">
              <w:rPr>
                <w:rFonts w:ascii="Times New Roman" w:eastAsia="Times New Roman" w:hAnsi="Times New Roman" w:cs="Times New Roman"/>
                <w:sz w:val="24"/>
                <w:szCs w:val="24"/>
                <w:lang w:eastAsia="ru-RU"/>
              </w:rPr>
              <w:t>печення</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1510551</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1585468</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Поточні зобов’язання і забеспечення</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913170</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582815</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Чистий фінансовий результат: прибуток (збиток)</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-109990</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-374456</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Середньорічна кількість акцій (шт.)</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525432400</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525432400</w:t>
            </w:r>
          </w:p>
        </w:tc>
      </w:tr>
      <w:tr w:rsidR="0070339A" w:rsidRPr="0070339A" w:rsidTr="00A528E3">
        <w:tc>
          <w:tcPr>
            <w:tcW w:w="5962"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Чистий прибуток (збиток) на одну просту акцію (грн.)</w:t>
            </w:r>
          </w:p>
        </w:tc>
        <w:tc>
          <w:tcPr>
            <w:tcW w:w="1595"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-0,20933</w:t>
            </w:r>
          </w:p>
        </w:tc>
        <w:tc>
          <w:tcPr>
            <w:tcW w:w="1518" w:type="dxa"/>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70339A" w:rsidRPr="0070339A" w:rsidRDefault="0070339A" w:rsidP="0070339A">
            <w:pPr>
              <w:spacing w:after="0" w:line="240" w:lineRule="auto"/>
              <w:contextualSpacing/>
              <w:jc w:val="center"/>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sz w:val="24"/>
                <w:szCs w:val="24"/>
                <w:lang w:val="uk-UA" w:eastAsia="ru-RU"/>
              </w:rPr>
              <w:t>-0,71266</w:t>
            </w:r>
          </w:p>
        </w:tc>
      </w:tr>
    </w:tbl>
    <w:p w:rsidR="0070339A" w:rsidRPr="0070339A" w:rsidRDefault="0070339A" w:rsidP="0070339A">
      <w:pPr>
        <w:contextualSpacing/>
        <w:rPr>
          <w:rFonts w:ascii="Times New Roman" w:hAnsi="Times New Roman" w:cs="Times New Roman"/>
          <w:sz w:val="24"/>
          <w:szCs w:val="24"/>
        </w:rPr>
      </w:pP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Для участі у загальних зборах акціонери повинні мати документи, що посвідчують їх особу (паспорт), а представники акціонерів – документи, що посвідчують їх особу (паспорт) та документи, які надають їм право брати участь та голосувати на загальних зборах, зокрема, але не обмежуючись цим:</w:t>
      </w:r>
    </w:p>
    <w:p w:rsidR="00154B63" w:rsidRPr="0070339A" w:rsidRDefault="00154B63" w:rsidP="0070339A">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 xml:space="preserve">керівник акціонера-юридичної особи – витяг із Єдиного державного реєстру юридичних осіб, фізичних осіб-підприємців та громадських формувань, копія статуту юридичної особи та, якщо це передбачено статутом юридичної особи, рішення уповноваженого органу юридичної особи про надання керівнику повноважень щодо участі та голосування на </w:t>
      </w:r>
      <w:r w:rsidRPr="0070339A">
        <w:rPr>
          <w:rFonts w:ascii="Times New Roman" w:eastAsia="Times New Roman" w:hAnsi="Times New Roman" w:cs="Times New Roman"/>
          <w:sz w:val="24"/>
          <w:szCs w:val="24"/>
          <w:lang w:eastAsia="ru-RU"/>
        </w:rPr>
        <w:lastRenderedPageBreak/>
        <w:t>загальних зборах Товариства; представник акціонера за довіреністю – посвідчену згідно з чинним законодавством України довіреність, яка надає представнику право на участь та голосування на загальних зборах Товариства.</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Акціонер має право видати довіреність на право участі та голосування на загальних зборах декільком своїм представникам. Надання довіреності на право участі та голосування на загальних зборах не виключає право участі на цих зборах акціонера, який видав довіреність, замість свого представника. До закінчення часу, відведеного на реєстрацію учасників загальних зборів, акціонер має право замінити свого представника, повідомивши про це реєстраційну комісію та Директора Товариства, або взяти участь у загальних зборах особисто. У разі, якщо для участі в загальних зборах з’явиться декілька представників акціонера, зареєстрованим буде той представник, довіреність якому буде видана пізніше. У разі, якщо акція перебуває у спільній власності декількох осіб, повноваження щодо голосування на загальних зборах здійснюється за їх згодою одним із співвласників або їх загальним представником. Представник акціонера голосує на загальних зборах на свій розсуд або згідно з завданням щодо голосування, виданим акціонером.</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Для ознайомлення з матеріалами до загальних зборів та документами, необхідними для прийняття рішень з питань проекту порядку денного, та проектами рішень з питань, що виносяться на голосування, з матеріалами, пов’язаними з порядком денним зборів можна ознайомитись шляхом надіслання запиту щодо ознайомлення на електронну пошту </w:t>
      </w:r>
      <w:hyperlink r:id="rId6" w:history="1">
        <w:r w:rsidRPr="0070339A">
          <w:rPr>
            <w:rFonts w:ascii="Times New Roman" w:eastAsia="Times New Roman" w:hAnsi="Times New Roman" w:cs="Times New Roman"/>
            <w:bCs/>
            <w:sz w:val="24"/>
            <w:szCs w:val="24"/>
            <w:lang w:eastAsia="ru-RU"/>
          </w:rPr>
          <w:t>cherk_tec@meta.ua</w:t>
        </w:r>
      </w:hyperlink>
      <w:r w:rsidRPr="0070339A">
        <w:rPr>
          <w:rFonts w:ascii="Times New Roman" w:eastAsia="Times New Roman" w:hAnsi="Times New Roman" w:cs="Times New Roman"/>
          <w:bCs/>
          <w:sz w:val="24"/>
          <w:szCs w:val="24"/>
          <w:lang w:eastAsia="ru-RU"/>
        </w:rPr>
        <w:t> або у відкритому доступі на власному веб-сайті www.khimvolokno.com.ua. Особа, відповідальна за порядок ознайомлення акціонерів з документами – голова правління Олексенко Віктор Володимирович (тел. (0472) 397-2</w:t>
      </w:r>
      <w:r w:rsidR="00ED6061">
        <w:rPr>
          <w:rFonts w:ascii="Times New Roman" w:eastAsia="Times New Roman" w:hAnsi="Times New Roman" w:cs="Times New Roman"/>
          <w:bCs/>
          <w:sz w:val="24"/>
          <w:szCs w:val="24"/>
          <w:lang w:val="uk-UA" w:eastAsia="ru-RU"/>
        </w:rPr>
        <w:t>68</w:t>
      </w:r>
      <w:r w:rsidRPr="0070339A">
        <w:rPr>
          <w:rFonts w:ascii="Times New Roman" w:eastAsia="Times New Roman" w:hAnsi="Times New Roman" w:cs="Times New Roman"/>
          <w:bCs/>
          <w:sz w:val="24"/>
          <w:szCs w:val="24"/>
          <w:lang w:eastAsia="ru-RU"/>
        </w:rPr>
        <w:t>).</w:t>
      </w:r>
    </w:p>
    <w:p w:rsidR="00154B63" w:rsidRPr="0070339A" w:rsidRDefault="00154B63" w:rsidP="0070339A">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Акціонер може направити запит щодо ознайомлення з матеріалами під час підготовки до загальних зборів та/або запитання щодо порядку денного загальних зборів та/або направити пропозиції до порядку денного загальних зборів та проектів рішень на адресу електронної пошти cherk_tec@meta.ua.</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Для реєстрації акціонерів (їх представників) таким акціонером (представником акціонера) подаються бюлетені для голосування депозитарній установі, яка обслуговує рахунок в цінних паперах такого акціонера, на якому обліковуються належні акціонеру акції товариства на дату складення переліку акціонерів, які мають право на участь у загальних зборах акціонерів.</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У разі, якщо акціонер має рахунки в цінних паперах в декількох депозитарних установах, на яких обліковуються акції товариства, кожна із депозитарних установ приймає бюлетень для голосування на загальних зборах лише щодо тієї кількості акцій, права на які обліковуються на рахунку в цінних паперах, що обслуговується такою депозитарною установою.</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У випадку подання бюлетеня для голосування, підписаного  представником акціонера, до бюлетеня для голосування додаються документи, що підтверджують повноваження такого представника акціонера або їх належним чином  засвідчені копії.</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val="uk-UA" w:eastAsia="ru-RU"/>
        </w:rPr>
      </w:pPr>
      <w:r w:rsidRPr="0070339A">
        <w:rPr>
          <w:rFonts w:ascii="Times New Roman" w:eastAsia="Times New Roman" w:hAnsi="Times New Roman" w:cs="Times New Roman"/>
          <w:bCs/>
          <w:sz w:val="24"/>
          <w:szCs w:val="24"/>
          <w:lang w:val="uk-UA" w:eastAsia="ru-RU"/>
        </w:rPr>
        <w:t>Кожен акціонер – власник голосуючих акцій має право реалізувати своє право на управління товариством шляхом участі у загальних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w:t>
      </w:r>
      <w:r w:rsidRPr="0070339A">
        <w:rPr>
          <w:rFonts w:ascii="Times New Roman" w:eastAsia="Times New Roman" w:hAnsi="Times New Roman" w:cs="Times New Roman"/>
          <w:bCs/>
          <w:sz w:val="24"/>
          <w:szCs w:val="24"/>
          <w:lang w:eastAsia="ru-RU"/>
        </w:rPr>
        <w:t> </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Голосування на загальних зборах розпочинається з 9 години дня, який зазначено як дата розміщення бюлетенів для голосування. Голосування на загальних зборах завершується до 18 години дня, який зазначено у повідомленні про проведення загальних зборів.</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Голосування на загальних зборах з питань порядку денного проводиться виключно з використанням бюлетенів для голосування – бюлетеня для кумулятивного голосування (з питань порядку денного, голосування за якими здійснюється шляхом кумулятивного голосування), бюлетеня для голосування (щодо інших питань порядку денного крім кумулятивного голосування).</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lastRenderedPageBreak/>
        <w:t>Бюлетень для голосування на загальних зборах засвідчується одним з наступних способів за вибором акціонера:</w:t>
      </w:r>
    </w:p>
    <w:p w:rsidR="00154B63" w:rsidRPr="0070339A" w:rsidRDefault="00154B63" w:rsidP="0070339A">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 за допомогою кваліфікованого електронного підпису акціонера (його представника);</w:t>
      </w:r>
    </w:p>
    <w:p w:rsidR="00154B63" w:rsidRPr="0070339A" w:rsidRDefault="00154B63" w:rsidP="0070339A">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 нотаріально, за умови підписання бюлетеня в присутності нотаріуса або посадової особи, яка вчиняє нотаріальні дії;</w:t>
      </w:r>
    </w:p>
    <w:p w:rsidR="00154B63" w:rsidRPr="0070339A" w:rsidRDefault="00154B63" w:rsidP="0070339A">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 депозитарною установою, яка обслуговує рахунок в цінних паперах такого акціонера, на якому обліковуються належні акціонеру акції товариства, за умови підписання бюлетеня в присутності уповноваженої особи депозитарної установи</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Акціонерам необхідно укласти договори з депозитарними установами, яким рахунок в цінних паперах депозитарною установою відкрито на підставі договору з емітентом для забезпечення реалізації права на участь у дистанційних загальних зборах.</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Акціонери мають право направляти письмові запитання щодо питань, включених до проекту порядку денного загальних зборів та порядку денного загальних зборів.</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sz w:val="24"/>
          <w:szCs w:val="24"/>
          <w:lang w:eastAsia="ru-RU"/>
        </w:rPr>
        <w:t>Акціонери мають право вносити пропозиції до проекту порядку денного загальних зборів не пізніше ніж за 20 днів до дня проведення загальних зборів, а щодо кандидатів до складу органів Товариства – не пізніше ніж за 7 днів до дня проведення загальних зборів. Кожний акціонер має право внести пропозиції щодо питань, включених до проекту порядку денного загальних зборів, а також щодо нових кандидатів до складу органів товариства, кількість яких не може перевищувати кількісного складу кожного з органів.</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Пропозиція до проекту порядку денного загальних зборів направляється із зазначенням реквізитів  акціонера, який її вносить, кількості, типу та/або класу належних йому акцій, змісту пропозиції до питання та/або проекту рішення.</w:t>
      </w:r>
    </w:p>
    <w:p w:rsidR="00154B63" w:rsidRPr="0070339A" w:rsidRDefault="00154B63" w:rsidP="0070339A">
      <w:pPr>
        <w:shd w:val="clear" w:color="auto" w:fill="FFFFFF"/>
        <w:spacing w:after="0" w:line="240" w:lineRule="auto"/>
        <w:ind w:firstLine="708"/>
        <w:contextualSpacing/>
        <w:jc w:val="both"/>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 xml:space="preserve">Пропозиція до порядку денного загальних зборів може бути направлена акціонером у вигляді </w:t>
      </w:r>
      <w:r w:rsidRPr="0070339A">
        <w:rPr>
          <w:rFonts w:ascii="Times New Roman" w:eastAsia="Times New Roman" w:hAnsi="Times New Roman" w:cs="Times New Roman"/>
          <w:sz w:val="24"/>
          <w:szCs w:val="24"/>
          <w:lang w:eastAsia="ru-RU"/>
        </w:rPr>
        <w:t>електронного</w:t>
      </w:r>
      <w:r w:rsidRPr="0070339A">
        <w:rPr>
          <w:rFonts w:ascii="Times New Roman" w:eastAsia="Times New Roman" w:hAnsi="Times New Roman" w:cs="Times New Roman"/>
          <w:bCs/>
          <w:sz w:val="24"/>
          <w:szCs w:val="24"/>
          <w:lang w:eastAsia="ru-RU"/>
        </w:rPr>
        <w:t xml:space="preserve"> документу із засвідченням його кваліфікованим електронним підписом акціонера (іншим засобом, що забезпечує ідентифікацію та підтвердження направлення документу особою) на адресу електронної пошти, зазначену в повідомленні про проведення загальних зборів.</w:t>
      </w:r>
    </w:p>
    <w:p w:rsidR="001D38AF" w:rsidRDefault="001D38AF" w:rsidP="001D38AF">
      <w:pPr>
        <w:pStyle w:val="a8"/>
        <w:ind w:firstLine="720"/>
        <w:contextualSpacing/>
        <w:jc w:val="both"/>
        <w:rPr>
          <w:color w:val="000000"/>
          <w:sz w:val="24"/>
          <w:szCs w:val="24"/>
          <w:lang w:val="uk-UA"/>
        </w:rPr>
      </w:pPr>
      <w:r w:rsidRPr="00F170BF">
        <w:rPr>
          <w:color w:val="000000"/>
          <w:sz w:val="24"/>
          <w:szCs w:val="24"/>
        </w:rPr>
        <w:t>П</w:t>
      </w:r>
      <w:r>
        <w:rPr>
          <w:color w:val="000000"/>
          <w:sz w:val="24"/>
          <w:szCs w:val="24"/>
          <w:lang w:val="uk-UA"/>
        </w:rPr>
        <w:t>РАТ «ЧЕРКАСЬКЕ ХІМВОЛОКНО» п</w:t>
      </w:r>
      <w:r w:rsidRPr="00F170BF">
        <w:rPr>
          <w:color w:val="000000"/>
          <w:sz w:val="24"/>
          <w:szCs w:val="24"/>
        </w:rPr>
        <w:t>овідом</w:t>
      </w:r>
      <w:r>
        <w:rPr>
          <w:color w:val="000000"/>
          <w:sz w:val="24"/>
          <w:szCs w:val="24"/>
          <w:lang w:val="uk-UA"/>
        </w:rPr>
        <w:t>ляє</w:t>
      </w:r>
      <w:r w:rsidRPr="00F170BF">
        <w:rPr>
          <w:color w:val="000000"/>
          <w:sz w:val="24"/>
          <w:szCs w:val="24"/>
        </w:rPr>
        <w:t xml:space="preserve"> акціонерів про</w:t>
      </w:r>
      <w:r w:rsidRPr="00147C59">
        <w:rPr>
          <w:color w:val="000000"/>
          <w:sz w:val="24"/>
          <w:szCs w:val="24"/>
        </w:rPr>
        <w:t xml:space="preserve"> необхідн</w:t>
      </w:r>
      <w:r w:rsidRPr="00F170BF">
        <w:rPr>
          <w:color w:val="000000"/>
          <w:sz w:val="24"/>
          <w:szCs w:val="24"/>
        </w:rPr>
        <w:t>ість</w:t>
      </w:r>
      <w:r w:rsidRPr="00147C59">
        <w:rPr>
          <w:color w:val="000000"/>
          <w:sz w:val="24"/>
          <w:szCs w:val="24"/>
        </w:rPr>
        <w:t xml:space="preserve"> укладення договорів з депозитарними установами особами, яким рахунок в цінних паперах депозитарною установою відкрито на підставі договору з емітентом для забезпечення реалізації права на участь у дистанційних загальних зборах. </w:t>
      </w:r>
    </w:p>
    <w:p w:rsidR="001D38AF" w:rsidRPr="001D38AF" w:rsidRDefault="001D38AF" w:rsidP="001D38AF">
      <w:pPr>
        <w:pStyle w:val="a8"/>
        <w:ind w:firstLine="720"/>
        <w:contextualSpacing/>
        <w:jc w:val="both"/>
        <w:rPr>
          <w:color w:val="000000"/>
          <w:sz w:val="24"/>
          <w:szCs w:val="24"/>
          <w:lang w:val="uk-UA"/>
        </w:rPr>
      </w:pPr>
      <w:r w:rsidRPr="001D38AF">
        <w:rPr>
          <w:sz w:val="24"/>
          <w:szCs w:val="24"/>
          <w:lang w:val="uk-UA"/>
        </w:rPr>
        <w:t>С</w:t>
      </w:r>
      <w:r w:rsidRPr="001D38AF">
        <w:rPr>
          <w:sz w:val="24"/>
          <w:szCs w:val="24"/>
        </w:rPr>
        <w:t xml:space="preserve">таном на дату складання переліку осіб, яким надсилається повідомлення про проведення загальних зборів </w:t>
      </w:r>
      <w:r w:rsidRPr="001D38AF">
        <w:rPr>
          <w:sz w:val="24"/>
          <w:szCs w:val="24"/>
          <w:lang w:val="uk-UA"/>
        </w:rPr>
        <w:t xml:space="preserve">(06 вересня 2022 року) </w:t>
      </w:r>
      <w:r w:rsidRPr="001D38AF">
        <w:rPr>
          <w:sz w:val="24"/>
          <w:szCs w:val="24"/>
        </w:rPr>
        <w:t>загальн</w:t>
      </w:r>
      <w:r w:rsidRPr="001D38AF">
        <w:rPr>
          <w:sz w:val="24"/>
          <w:szCs w:val="24"/>
          <w:lang w:val="uk-UA"/>
        </w:rPr>
        <w:t>а</w:t>
      </w:r>
      <w:r w:rsidRPr="001D38AF">
        <w:rPr>
          <w:sz w:val="24"/>
          <w:szCs w:val="24"/>
        </w:rPr>
        <w:t xml:space="preserve"> кількість акцій </w:t>
      </w:r>
      <w:r w:rsidRPr="001D38AF">
        <w:rPr>
          <w:sz w:val="24"/>
          <w:szCs w:val="24"/>
          <w:lang w:val="uk-UA"/>
        </w:rPr>
        <w:t xml:space="preserve">складає </w:t>
      </w:r>
      <w:r w:rsidR="00F25BBF">
        <w:rPr>
          <w:sz w:val="24"/>
          <w:szCs w:val="24"/>
          <w:lang w:val="uk-UA"/>
        </w:rPr>
        <w:t>525 432 400</w:t>
      </w:r>
      <w:r w:rsidRPr="001D38AF">
        <w:rPr>
          <w:sz w:val="24"/>
          <w:szCs w:val="24"/>
          <w:lang w:val="uk-UA"/>
        </w:rPr>
        <w:t xml:space="preserve"> шт</w:t>
      </w:r>
      <w:r w:rsidR="00F25BBF">
        <w:rPr>
          <w:sz w:val="24"/>
          <w:szCs w:val="24"/>
          <w:lang w:val="uk-UA"/>
        </w:rPr>
        <w:t>ук</w:t>
      </w:r>
      <w:r w:rsidRPr="001D38AF">
        <w:rPr>
          <w:sz w:val="24"/>
          <w:szCs w:val="24"/>
          <w:lang w:val="uk-UA"/>
        </w:rPr>
        <w:t>.,</w:t>
      </w:r>
      <w:r w:rsidRPr="001D38AF">
        <w:rPr>
          <w:sz w:val="24"/>
          <w:szCs w:val="24"/>
        </w:rPr>
        <w:t xml:space="preserve"> кількість голосуючих акцій</w:t>
      </w:r>
      <w:r w:rsidRPr="001D38AF">
        <w:rPr>
          <w:sz w:val="24"/>
          <w:szCs w:val="24"/>
          <w:lang w:val="uk-UA"/>
        </w:rPr>
        <w:t xml:space="preserve"> складає </w:t>
      </w:r>
      <w:r w:rsidR="00F25BBF">
        <w:rPr>
          <w:sz w:val="24"/>
          <w:szCs w:val="24"/>
          <w:lang w:val="uk-UA"/>
        </w:rPr>
        <w:t>485 183 675</w:t>
      </w:r>
      <w:r w:rsidRPr="001D38AF">
        <w:rPr>
          <w:sz w:val="24"/>
          <w:szCs w:val="24"/>
          <w:lang w:val="uk-UA"/>
        </w:rPr>
        <w:t xml:space="preserve"> шт</w:t>
      </w:r>
      <w:r w:rsidR="00F25BBF">
        <w:rPr>
          <w:sz w:val="24"/>
          <w:szCs w:val="24"/>
          <w:lang w:val="uk-UA"/>
        </w:rPr>
        <w:t>ук</w:t>
      </w:r>
      <w:r w:rsidRPr="001D38AF">
        <w:rPr>
          <w:sz w:val="24"/>
          <w:szCs w:val="24"/>
          <w:lang w:val="uk-UA"/>
        </w:rPr>
        <w:t>.</w:t>
      </w:r>
      <w:r w:rsidRPr="001D38AF">
        <w:rPr>
          <w:sz w:val="24"/>
          <w:szCs w:val="24"/>
        </w:rPr>
        <w:t xml:space="preserve"> </w:t>
      </w:r>
    </w:p>
    <w:p w:rsidR="0070339A" w:rsidRDefault="0070339A" w:rsidP="0070339A">
      <w:pPr>
        <w:shd w:val="clear" w:color="auto" w:fill="FFFFFF"/>
        <w:spacing w:after="0" w:line="240" w:lineRule="auto"/>
        <w:contextualSpacing/>
        <w:textAlignment w:val="baseline"/>
        <w:rPr>
          <w:rFonts w:ascii="Times New Roman" w:eastAsia="Times New Roman" w:hAnsi="Times New Roman" w:cs="Times New Roman"/>
          <w:bCs/>
          <w:sz w:val="24"/>
          <w:szCs w:val="24"/>
          <w:lang w:val="uk-UA" w:eastAsia="ru-RU"/>
        </w:rPr>
      </w:pPr>
    </w:p>
    <w:p w:rsidR="0070339A" w:rsidRDefault="0070339A" w:rsidP="0070339A">
      <w:pPr>
        <w:shd w:val="clear" w:color="auto" w:fill="FFFFFF"/>
        <w:spacing w:after="0" w:line="240" w:lineRule="auto"/>
        <w:contextualSpacing/>
        <w:textAlignment w:val="baseline"/>
        <w:rPr>
          <w:rFonts w:ascii="Times New Roman" w:eastAsia="Times New Roman" w:hAnsi="Times New Roman" w:cs="Times New Roman"/>
          <w:bCs/>
          <w:sz w:val="24"/>
          <w:szCs w:val="24"/>
          <w:lang w:val="uk-UA" w:eastAsia="ru-RU"/>
        </w:rPr>
      </w:pPr>
    </w:p>
    <w:p w:rsidR="00154B63" w:rsidRPr="0070339A" w:rsidRDefault="00154B63" w:rsidP="0070339A">
      <w:pPr>
        <w:shd w:val="clear" w:color="auto" w:fill="FFFFFF"/>
        <w:spacing w:after="0" w:line="240" w:lineRule="auto"/>
        <w:contextualSpacing/>
        <w:textAlignment w:val="baseline"/>
        <w:rPr>
          <w:rFonts w:ascii="Times New Roman" w:eastAsia="Times New Roman" w:hAnsi="Times New Roman" w:cs="Times New Roman"/>
          <w:sz w:val="24"/>
          <w:szCs w:val="24"/>
          <w:lang w:eastAsia="ru-RU"/>
        </w:rPr>
      </w:pPr>
      <w:r w:rsidRPr="0070339A">
        <w:rPr>
          <w:rFonts w:ascii="Times New Roman" w:eastAsia="Times New Roman" w:hAnsi="Times New Roman" w:cs="Times New Roman"/>
          <w:bCs/>
          <w:sz w:val="24"/>
          <w:szCs w:val="24"/>
          <w:lang w:eastAsia="ru-RU"/>
        </w:rPr>
        <w:t>Довідки за телефоном: (0472) 397-2</w:t>
      </w:r>
      <w:r w:rsidR="00C96660" w:rsidRPr="0070339A">
        <w:rPr>
          <w:rFonts w:ascii="Times New Roman" w:eastAsia="Times New Roman" w:hAnsi="Times New Roman" w:cs="Times New Roman"/>
          <w:bCs/>
          <w:sz w:val="24"/>
          <w:szCs w:val="24"/>
          <w:lang w:val="uk-UA" w:eastAsia="ru-RU"/>
        </w:rPr>
        <w:t>68</w:t>
      </w:r>
    </w:p>
    <w:p w:rsidR="00C3462C" w:rsidRPr="0070339A" w:rsidRDefault="00C3462C" w:rsidP="0070339A">
      <w:pPr>
        <w:shd w:val="clear" w:color="auto" w:fill="FFFFFF"/>
        <w:spacing w:after="0" w:line="240" w:lineRule="auto"/>
        <w:contextualSpacing/>
        <w:textAlignment w:val="baseline"/>
        <w:rPr>
          <w:rFonts w:ascii="Times New Roman" w:eastAsia="Times New Roman" w:hAnsi="Times New Roman" w:cs="Times New Roman"/>
          <w:bCs/>
          <w:sz w:val="24"/>
          <w:szCs w:val="24"/>
          <w:lang w:val="uk-UA" w:eastAsia="ru-RU"/>
        </w:rPr>
      </w:pPr>
    </w:p>
    <w:p w:rsidR="00C3462C" w:rsidRPr="0070339A" w:rsidRDefault="00C3462C" w:rsidP="0070339A">
      <w:pPr>
        <w:shd w:val="clear" w:color="auto" w:fill="FFFFFF"/>
        <w:spacing w:after="0" w:line="240" w:lineRule="auto"/>
        <w:contextualSpacing/>
        <w:textAlignment w:val="baseline"/>
        <w:rPr>
          <w:rFonts w:ascii="Times New Roman" w:eastAsia="Times New Roman" w:hAnsi="Times New Roman" w:cs="Times New Roman"/>
          <w:bCs/>
          <w:sz w:val="24"/>
          <w:szCs w:val="24"/>
          <w:lang w:val="uk-UA" w:eastAsia="ru-RU"/>
        </w:rPr>
      </w:pPr>
    </w:p>
    <w:p w:rsidR="00C3462C" w:rsidRPr="00D76E47" w:rsidRDefault="00C3462C" w:rsidP="0070339A">
      <w:pPr>
        <w:shd w:val="clear" w:color="auto" w:fill="FFFFFF"/>
        <w:spacing w:after="0" w:line="240" w:lineRule="auto"/>
        <w:contextualSpacing/>
        <w:textAlignment w:val="baseline"/>
        <w:rPr>
          <w:rFonts w:ascii="Times New Roman" w:eastAsia="Times New Roman" w:hAnsi="Times New Roman" w:cs="Times New Roman"/>
          <w:bCs/>
          <w:sz w:val="24"/>
          <w:szCs w:val="24"/>
          <w:lang w:val="uk-UA" w:eastAsia="ru-RU"/>
        </w:rPr>
      </w:pPr>
      <w:r w:rsidRPr="00D76E47">
        <w:rPr>
          <w:rFonts w:ascii="Times New Roman" w:eastAsia="Times New Roman" w:hAnsi="Times New Roman" w:cs="Times New Roman"/>
          <w:bCs/>
          <w:sz w:val="24"/>
          <w:szCs w:val="24"/>
          <w:lang w:val="uk-UA" w:eastAsia="ru-RU"/>
        </w:rPr>
        <w:t xml:space="preserve">Голова </w:t>
      </w:r>
      <w:r w:rsidR="00133489" w:rsidRPr="00D76E47">
        <w:rPr>
          <w:rFonts w:ascii="Times New Roman" w:eastAsia="Times New Roman" w:hAnsi="Times New Roman" w:cs="Times New Roman"/>
          <w:bCs/>
          <w:sz w:val="24"/>
          <w:szCs w:val="24"/>
          <w:lang w:val="uk-UA" w:eastAsia="ru-RU"/>
        </w:rPr>
        <w:t>п</w:t>
      </w:r>
      <w:r w:rsidR="00154B63" w:rsidRPr="00D76E47">
        <w:rPr>
          <w:rFonts w:ascii="Times New Roman" w:eastAsia="Times New Roman" w:hAnsi="Times New Roman" w:cs="Times New Roman"/>
          <w:bCs/>
          <w:sz w:val="24"/>
          <w:szCs w:val="24"/>
          <w:lang w:eastAsia="ru-RU"/>
        </w:rPr>
        <w:t>равління</w:t>
      </w:r>
      <w:r w:rsidR="00D76E47" w:rsidRPr="00D76E47">
        <w:rPr>
          <w:rFonts w:ascii="Times New Roman" w:eastAsia="Times New Roman" w:hAnsi="Times New Roman" w:cs="Times New Roman"/>
          <w:bCs/>
          <w:sz w:val="24"/>
          <w:szCs w:val="24"/>
          <w:lang w:val="uk-UA" w:eastAsia="ru-RU"/>
        </w:rPr>
        <w:tab/>
      </w:r>
      <w:r w:rsidRPr="00D76E47">
        <w:rPr>
          <w:rFonts w:ascii="Times New Roman" w:eastAsia="Times New Roman" w:hAnsi="Times New Roman" w:cs="Times New Roman"/>
          <w:bCs/>
          <w:sz w:val="24"/>
          <w:szCs w:val="24"/>
          <w:lang w:val="uk-UA" w:eastAsia="ru-RU"/>
        </w:rPr>
        <w:tab/>
      </w:r>
      <w:r w:rsidRPr="00D76E47">
        <w:rPr>
          <w:rFonts w:ascii="Times New Roman" w:eastAsia="Times New Roman" w:hAnsi="Times New Roman" w:cs="Times New Roman"/>
          <w:bCs/>
          <w:sz w:val="24"/>
          <w:szCs w:val="24"/>
          <w:lang w:val="uk-UA" w:eastAsia="ru-RU"/>
        </w:rPr>
        <w:tab/>
      </w:r>
      <w:r w:rsidR="00D76E47" w:rsidRPr="00D76E47">
        <w:rPr>
          <w:rFonts w:ascii="Times New Roman" w:hAnsi="Times New Roman" w:cs="Times New Roman"/>
          <w:sz w:val="24"/>
          <w:szCs w:val="24"/>
        </w:rPr>
        <w:t>підпис/печатка*</w:t>
      </w:r>
      <w:r w:rsidRPr="00D76E47">
        <w:rPr>
          <w:rFonts w:ascii="Times New Roman" w:eastAsia="Times New Roman" w:hAnsi="Times New Roman" w:cs="Times New Roman"/>
          <w:bCs/>
          <w:sz w:val="24"/>
          <w:szCs w:val="24"/>
          <w:lang w:val="uk-UA" w:eastAsia="ru-RU"/>
        </w:rPr>
        <w:tab/>
      </w:r>
      <w:r w:rsidR="00D76E47">
        <w:rPr>
          <w:rFonts w:ascii="Times New Roman" w:eastAsia="Times New Roman" w:hAnsi="Times New Roman" w:cs="Times New Roman"/>
          <w:bCs/>
          <w:sz w:val="24"/>
          <w:szCs w:val="24"/>
          <w:lang w:val="uk-UA" w:eastAsia="ru-RU"/>
        </w:rPr>
        <w:tab/>
      </w:r>
      <w:r w:rsidR="00D76E47" w:rsidRPr="00D76E47">
        <w:rPr>
          <w:rFonts w:ascii="Times New Roman" w:eastAsia="Times New Roman" w:hAnsi="Times New Roman" w:cs="Times New Roman"/>
          <w:bCs/>
          <w:sz w:val="24"/>
          <w:szCs w:val="24"/>
          <w:lang w:val="uk-UA" w:eastAsia="ru-RU"/>
        </w:rPr>
        <w:t xml:space="preserve"> </w:t>
      </w:r>
      <w:r w:rsidRPr="00D76E47">
        <w:rPr>
          <w:rFonts w:ascii="Times New Roman" w:eastAsia="Times New Roman" w:hAnsi="Times New Roman" w:cs="Times New Roman"/>
          <w:bCs/>
          <w:sz w:val="24"/>
          <w:szCs w:val="24"/>
          <w:lang w:val="uk-UA" w:eastAsia="ru-RU"/>
        </w:rPr>
        <w:t>В</w:t>
      </w:r>
      <w:r w:rsidR="00133489" w:rsidRPr="00D76E47">
        <w:rPr>
          <w:rFonts w:ascii="Times New Roman" w:eastAsia="Times New Roman" w:hAnsi="Times New Roman" w:cs="Times New Roman"/>
          <w:bCs/>
          <w:sz w:val="24"/>
          <w:szCs w:val="24"/>
          <w:lang w:val="uk-UA" w:eastAsia="ru-RU"/>
        </w:rPr>
        <w:t>іктор ОЛЕКСЕНКО</w:t>
      </w:r>
    </w:p>
    <w:p w:rsidR="00D76E47" w:rsidRPr="00D76E47" w:rsidRDefault="00D76E47" w:rsidP="00D76E47">
      <w:pPr>
        <w:jc w:val="both"/>
        <w:rPr>
          <w:rFonts w:ascii="Times New Roman" w:hAnsi="Times New Roman" w:cs="Times New Roman"/>
          <w:sz w:val="24"/>
          <w:szCs w:val="24"/>
          <w:u w:val="single"/>
        </w:rPr>
      </w:pPr>
    </w:p>
    <w:p w:rsidR="00D76E47" w:rsidRPr="00D76E47" w:rsidRDefault="00D76E47" w:rsidP="00D76E47">
      <w:pPr>
        <w:jc w:val="both"/>
        <w:rPr>
          <w:rFonts w:ascii="Times New Roman" w:hAnsi="Times New Roman" w:cs="Times New Roman"/>
          <w:sz w:val="24"/>
          <w:szCs w:val="24"/>
        </w:rPr>
      </w:pPr>
      <w:r w:rsidRPr="00D76E47">
        <w:rPr>
          <w:rFonts w:ascii="Times New Roman" w:hAnsi="Times New Roman" w:cs="Times New Roman"/>
          <w:sz w:val="24"/>
          <w:szCs w:val="24"/>
        </w:rPr>
        <w:t>* документ підписаний кваліфікованим електронним підписом</w:t>
      </w:r>
    </w:p>
    <w:p w:rsidR="00D76E47" w:rsidRPr="00D76E47" w:rsidRDefault="00D76E47" w:rsidP="00D76E47">
      <w:pPr>
        <w:rPr>
          <w:rFonts w:ascii="Times New Roman" w:hAnsi="Times New Roman" w:cs="Times New Roman"/>
          <w:sz w:val="24"/>
          <w:szCs w:val="24"/>
        </w:rPr>
      </w:pPr>
    </w:p>
    <w:p w:rsidR="00D76E47" w:rsidRDefault="00D76E47" w:rsidP="00D76E47">
      <w:pPr>
        <w:rPr>
          <w:sz w:val="24"/>
          <w:szCs w:val="24"/>
        </w:rPr>
      </w:pPr>
    </w:p>
    <w:p w:rsidR="00D835DA" w:rsidRPr="0070339A" w:rsidRDefault="00D835DA" w:rsidP="0070339A">
      <w:pPr>
        <w:contextualSpacing/>
        <w:rPr>
          <w:rFonts w:ascii="Times New Roman" w:hAnsi="Times New Roman" w:cs="Times New Roman"/>
          <w:sz w:val="24"/>
          <w:szCs w:val="24"/>
        </w:rPr>
      </w:pPr>
    </w:p>
    <w:sectPr w:rsidR="00D835DA" w:rsidRPr="0070339A" w:rsidSect="0070339A">
      <w:footerReference w:type="default" r:id="rId7"/>
      <w:pgSz w:w="11906" w:h="16838"/>
      <w:pgMar w:top="1134" w:right="850"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367" w:rsidRDefault="00535367" w:rsidP="00D76E47">
      <w:pPr>
        <w:spacing w:after="0" w:line="240" w:lineRule="auto"/>
      </w:pPr>
      <w:r>
        <w:separator/>
      </w:r>
    </w:p>
  </w:endnote>
  <w:endnote w:type="continuationSeparator" w:id="1">
    <w:p w:rsidR="00535367" w:rsidRDefault="00535367" w:rsidP="00D76E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52330"/>
      <w:docPartObj>
        <w:docPartGallery w:val="Page Numbers (Bottom of Page)"/>
        <w:docPartUnique/>
      </w:docPartObj>
    </w:sdtPr>
    <w:sdtContent>
      <w:p w:rsidR="00D76E47" w:rsidRPr="00D76E47" w:rsidRDefault="00D76E47" w:rsidP="00D76E47">
        <w:pPr>
          <w:pStyle w:val="ac"/>
          <w:jc w:val="right"/>
          <w:rPr>
            <w:lang w:val="uk-UA"/>
          </w:rPr>
        </w:pPr>
        <w:fldSimple w:instr=" PAGE   \* MERGEFORMAT ">
          <w:r>
            <w:rPr>
              <w:noProof/>
            </w:rPr>
            <w:t>5</w:t>
          </w:r>
        </w:fldSimple>
      </w:p>
    </w:sdtContent>
  </w:sdt>
  <w:p w:rsidR="00D76E47" w:rsidRDefault="00D76E4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367" w:rsidRDefault="00535367" w:rsidP="00D76E47">
      <w:pPr>
        <w:spacing w:after="0" w:line="240" w:lineRule="auto"/>
      </w:pPr>
      <w:r>
        <w:separator/>
      </w:r>
    </w:p>
  </w:footnote>
  <w:footnote w:type="continuationSeparator" w:id="1">
    <w:p w:rsidR="00535367" w:rsidRDefault="00535367" w:rsidP="00D76E4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54B63"/>
    <w:rsid w:val="00031C60"/>
    <w:rsid w:val="00037BC0"/>
    <w:rsid w:val="000D113A"/>
    <w:rsid w:val="00133489"/>
    <w:rsid w:val="00154B63"/>
    <w:rsid w:val="001D38AF"/>
    <w:rsid w:val="003C0AB6"/>
    <w:rsid w:val="00406C74"/>
    <w:rsid w:val="00450030"/>
    <w:rsid w:val="00535367"/>
    <w:rsid w:val="006B3BD3"/>
    <w:rsid w:val="0070339A"/>
    <w:rsid w:val="00870FDF"/>
    <w:rsid w:val="008E0BC1"/>
    <w:rsid w:val="00936B25"/>
    <w:rsid w:val="00990687"/>
    <w:rsid w:val="009E608F"/>
    <w:rsid w:val="00B9340B"/>
    <w:rsid w:val="00C3462C"/>
    <w:rsid w:val="00C96660"/>
    <w:rsid w:val="00CF6755"/>
    <w:rsid w:val="00D105A5"/>
    <w:rsid w:val="00D76E47"/>
    <w:rsid w:val="00D835DA"/>
    <w:rsid w:val="00ED6061"/>
    <w:rsid w:val="00F25BBF"/>
    <w:rsid w:val="00F54918"/>
    <w:rsid w:val="00F932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5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54B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54B63"/>
    <w:rPr>
      <w:b/>
      <w:bCs/>
    </w:rPr>
  </w:style>
  <w:style w:type="character" w:styleId="a5">
    <w:name w:val="Emphasis"/>
    <w:basedOn w:val="a0"/>
    <w:uiPriority w:val="20"/>
    <w:qFormat/>
    <w:rsid w:val="00154B63"/>
    <w:rPr>
      <w:i/>
      <w:iCs/>
    </w:rPr>
  </w:style>
  <w:style w:type="paragraph" w:styleId="a6">
    <w:name w:val="Body Text Indent"/>
    <w:basedOn w:val="a"/>
    <w:link w:val="a7"/>
    <w:rsid w:val="0070339A"/>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70339A"/>
    <w:rPr>
      <w:rFonts w:ascii="Times New Roman" w:eastAsia="Times New Roman" w:hAnsi="Times New Roman" w:cs="Times New Roman"/>
      <w:sz w:val="28"/>
      <w:szCs w:val="20"/>
      <w:lang w:eastAsia="ru-RU"/>
    </w:rPr>
  </w:style>
  <w:style w:type="paragraph" w:styleId="a8">
    <w:name w:val="Body Text"/>
    <w:basedOn w:val="a"/>
    <w:link w:val="a9"/>
    <w:rsid w:val="0070339A"/>
    <w:pPr>
      <w:spacing w:after="120" w:line="240" w:lineRule="auto"/>
    </w:pPr>
    <w:rPr>
      <w:rFonts w:ascii="Times New Roman" w:eastAsia="Times New Roman" w:hAnsi="Times New Roman" w:cs="Times New Roman"/>
      <w:sz w:val="20"/>
      <w:szCs w:val="20"/>
      <w:lang w:eastAsia="ru-RU"/>
    </w:rPr>
  </w:style>
  <w:style w:type="character" w:customStyle="1" w:styleId="a9">
    <w:name w:val="Основной текст Знак"/>
    <w:basedOn w:val="a0"/>
    <w:link w:val="a8"/>
    <w:rsid w:val="0070339A"/>
    <w:rPr>
      <w:rFonts w:ascii="Times New Roman" w:eastAsia="Times New Roman" w:hAnsi="Times New Roman" w:cs="Times New Roman"/>
      <w:sz w:val="20"/>
      <w:szCs w:val="20"/>
      <w:lang w:eastAsia="ru-RU"/>
    </w:rPr>
  </w:style>
  <w:style w:type="paragraph" w:customStyle="1" w:styleId="rvps2">
    <w:name w:val="rvps2"/>
    <w:basedOn w:val="a"/>
    <w:rsid w:val="007033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semiHidden/>
    <w:unhideWhenUsed/>
    <w:rsid w:val="00D76E47"/>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76E47"/>
  </w:style>
  <w:style w:type="paragraph" w:styleId="ac">
    <w:name w:val="footer"/>
    <w:basedOn w:val="a"/>
    <w:link w:val="ad"/>
    <w:uiPriority w:val="99"/>
    <w:unhideWhenUsed/>
    <w:rsid w:val="00D76E4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76E47"/>
  </w:style>
</w:styles>
</file>

<file path=word/webSettings.xml><?xml version="1.0" encoding="utf-8"?>
<w:webSettings xmlns:r="http://schemas.openxmlformats.org/officeDocument/2006/relationships" xmlns:w="http://schemas.openxmlformats.org/wordprocessingml/2006/main">
  <w:divs>
    <w:div w:id="762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erk_tec@meta.u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2235</Words>
  <Characters>12744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PKVL</dc:creator>
  <cp:lastModifiedBy>PKVL</cp:lastModifiedBy>
  <cp:revision>9</cp:revision>
  <cp:lastPrinted>2020-06-11T12:19:00Z</cp:lastPrinted>
  <dcterms:created xsi:type="dcterms:W3CDTF">2022-09-06T05:01:00Z</dcterms:created>
  <dcterms:modified xsi:type="dcterms:W3CDTF">2022-09-13T13:00:00Z</dcterms:modified>
</cp:coreProperties>
</file>