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E25" w:rsidRDefault="006E1E25" w:rsidP="006E1E25">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 Повідомлення (Повідомлення про інформацію)</w:t>
      </w:r>
    </w:p>
    <w:p w:rsidR="006E1E25" w:rsidRDefault="006E1E25" w:rsidP="006E1E25">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6E1E25" w:rsidTr="009B58D6">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6E1E25" w:rsidRDefault="006E1E25" w:rsidP="009B58D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29.10.2021</w:t>
            </w:r>
          </w:p>
        </w:tc>
      </w:tr>
      <w:tr w:rsidR="006E1E25" w:rsidTr="009B58D6">
        <w:tblPrEx>
          <w:tblCellMar>
            <w:top w:w="0" w:type="dxa"/>
            <w:bottom w:w="0" w:type="dxa"/>
          </w:tblCellMar>
        </w:tblPrEx>
        <w:trPr>
          <w:trHeight w:val="300"/>
        </w:trPr>
        <w:tc>
          <w:tcPr>
            <w:tcW w:w="5500" w:type="dxa"/>
            <w:tcBorders>
              <w:top w:val="nil"/>
              <w:left w:val="nil"/>
              <w:bottom w:val="nil"/>
              <w:right w:val="nil"/>
            </w:tcBorders>
            <w:vAlign w:val="bottom"/>
          </w:tcPr>
          <w:p w:rsidR="006E1E25" w:rsidRDefault="006E1E25" w:rsidP="009B58D6">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6E1E25" w:rsidTr="009B58D6">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6E1E25" w:rsidRDefault="006E1E25" w:rsidP="009B58D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1646</w:t>
            </w:r>
          </w:p>
        </w:tc>
      </w:tr>
      <w:tr w:rsidR="006E1E25" w:rsidTr="009B58D6">
        <w:tblPrEx>
          <w:tblCellMar>
            <w:top w:w="0" w:type="dxa"/>
            <w:bottom w:w="0" w:type="dxa"/>
          </w:tblCellMar>
        </w:tblPrEx>
        <w:trPr>
          <w:trHeight w:val="300"/>
        </w:trPr>
        <w:tc>
          <w:tcPr>
            <w:tcW w:w="5500" w:type="dxa"/>
            <w:tcBorders>
              <w:top w:val="nil"/>
              <w:left w:val="nil"/>
              <w:bottom w:val="nil"/>
              <w:right w:val="nil"/>
            </w:tcBorders>
            <w:vAlign w:val="bottom"/>
          </w:tcPr>
          <w:p w:rsidR="006E1E25" w:rsidRDefault="006E1E25" w:rsidP="009B58D6">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6E1E25" w:rsidRDefault="006E1E25" w:rsidP="006E1E25">
      <w:pPr>
        <w:widowControl w:val="0"/>
        <w:autoSpaceDE w:val="0"/>
        <w:autoSpaceDN w:val="0"/>
        <w:adjustRightInd w:val="0"/>
        <w:spacing w:after="0" w:line="240" w:lineRule="auto"/>
        <w:rPr>
          <w:rFonts w:ascii="Times New Roman CYR" w:hAnsi="Times New Roman CYR" w:cs="Times New Roman CYR"/>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580"/>
      </w:tblGrid>
      <w:tr w:rsidR="006E1E25" w:rsidTr="009B58D6">
        <w:tblPrEx>
          <w:tblCellMar>
            <w:top w:w="0" w:type="dxa"/>
            <w:bottom w:w="0" w:type="dxa"/>
          </w:tblCellMar>
        </w:tblPrEx>
        <w:trPr>
          <w:trHeight w:val="300"/>
        </w:trPr>
        <w:tc>
          <w:tcPr>
            <w:tcW w:w="10580" w:type="dxa"/>
            <w:tcBorders>
              <w:top w:val="nil"/>
              <w:left w:val="nil"/>
              <w:bottom w:val="nil"/>
              <w:right w:val="nil"/>
            </w:tcBorders>
            <w:vAlign w:val="bottom"/>
          </w:tcPr>
          <w:p w:rsidR="006E1E25" w:rsidRDefault="006E1E25" w:rsidP="009B58D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w:t>
            </w:r>
          </w:p>
        </w:tc>
      </w:tr>
    </w:tbl>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140"/>
        <w:gridCol w:w="236"/>
        <w:gridCol w:w="1354"/>
        <w:gridCol w:w="236"/>
        <w:gridCol w:w="4654"/>
      </w:tblGrid>
      <w:tr w:rsidR="006E1E25" w:rsidTr="009B58D6">
        <w:tblPrEx>
          <w:tblCellMar>
            <w:top w:w="0" w:type="dxa"/>
            <w:bottom w:w="0" w:type="dxa"/>
          </w:tblCellMar>
        </w:tblPrEx>
        <w:trPr>
          <w:trHeight w:val="200"/>
        </w:trPr>
        <w:tc>
          <w:tcPr>
            <w:tcW w:w="4140" w:type="dxa"/>
            <w:tcBorders>
              <w:top w:val="nil"/>
              <w:left w:val="nil"/>
              <w:bottom w:val="single" w:sz="6" w:space="0" w:color="auto"/>
              <w:right w:val="nil"/>
            </w:tcBorders>
            <w:vAlign w:val="bottom"/>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Голова правління</w:t>
            </w:r>
          </w:p>
        </w:tc>
        <w:tc>
          <w:tcPr>
            <w:tcW w:w="216" w:type="dxa"/>
            <w:tcBorders>
              <w:top w:val="nil"/>
              <w:left w:val="nil"/>
              <w:bottom w:val="nil"/>
              <w:right w:val="nil"/>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Олексенко В.В.</w:t>
            </w:r>
          </w:p>
        </w:tc>
      </w:tr>
      <w:tr w:rsidR="006E1E25" w:rsidTr="009B58D6">
        <w:tblPrEx>
          <w:tblCellMar>
            <w:top w:w="0" w:type="dxa"/>
            <w:bottom w:w="0" w:type="dxa"/>
          </w:tblCellMar>
        </w:tblPrEx>
        <w:trPr>
          <w:trHeight w:val="200"/>
        </w:trPr>
        <w:tc>
          <w:tcPr>
            <w:tcW w:w="4140" w:type="dxa"/>
            <w:tcBorders>
              <w:top w:val="nil"/>
              <w:left w:val="nil"/>
              <w:bottom w:val="nil"/>
              <w:right w:val="nil"/>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6E1E25" w:rsidRDefault="006E1E25" w:rsidP="006E1E25">
      <w:pPr>
        <w:widowControl w:val="0"/>
        <w:autoSpaceDE w:val="0"/>
        <w:autoSpaceDN w:val="0"/>
        <w:adjustRightInd w:val="0"/>
        <w:spacing w:after="0" w:line="240" w:lineRule="auto"/>
        <w:rPr>
          <w:rFonts w:ascii="Times New Roman CYR" w:hAnsi="Times New Roman CYR" w:cs="Times New Roman CYR"/>
          <w:sz w:val="20"/>
          <w:szCs w:val="20"/>
        </w:rPr>
      </w:pPr>
    </w:p>
    <w:p w:rsidR="006E1E25" w:rsidRDefault="006E1E25" w:rsidP="006E1E2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Особлива інформація (інформація про іпотечні цінні папери, сертифікати фонду операцій з нерухомістю) емітента</w:t>
      </w:r>
    </w:p>
    <w:p w:rsidR="006E1E25" w:rsidRDefault="006E1E25" w:rsidP="006E1E25">
      <w:pPr>
        <w:widowControl w:val="0"/>
        <w:autoSpaceDE w:val="0"/>
        <w:autoSpaceDN w:val="0"/>
        <w:adjustRightInd w:val="0"/>
        <w:spacing w:after="0" w:line="240" w:lineRule="auto"/>
        <w:rPr>
          <w:rFonts w:ascii="Times New Roman CYR" w:hAnsi="Times New Roman CYR" w:cs="Times New Roman CYR"/>
          <w:b/>
          <w:bCs/>
          <w:sz w:val="28"/>
          <w:szCs w:val="28"/>
        </w:rPr>
      </w:pPr>
    </w:p>
    <w:p w:rsidR="006E1E25" w:rsidRDefault="006E1E25" w:rsidP="006E1E2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 Загальні відомості</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w:t>
      </w:r>
    </w:p>
    <w:p w:rsidR="006E1E25" w:rsidRDefault="006E1E25" w:rsidP="006E1E2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АКЦИОНЕРНЕ ТОВАРИСТВО "ЧЕРКАСЬКЕ ХІМВОЛОКНО"</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Приватне акціонерне товариство</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Місцезнаходження:</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18013, Черкаська обл., Черкаси, проспект Хіміків, буд. 76</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Ідентифікаційний код юридичної особи:</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00204033</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та телефон, факс:</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0472397255, 0472640032</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00204033@afr.com.ua, уаrn@khimvolokno.com.ua</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проводить діяльність з оприлюднення регульованої інформації від імені учасника фондового ринку (у разі здійснення оприлюднення):</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Державна установа "Агентство з розвитку інфраструктури фондового ринку України", 21676262, Україна, DR/00001/APA</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p w:rsidR="006E1E25" w:rsidRDefault="006E1E25" w:rsidP="006E1E2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Державна установа "Агентство з розвитку інфраструктури фондового ринку України", 21676262, Україна, DR/00002/ARM</w:t>
      </w:r>
    </w:p>
    <w:p w:rsidR="006E1E25" w:rsidRPr="006E1E25" w:rsidRDefault="006E1E25" w:rsidP="006E1E25">
      <w:pPr>
        <w:widowControl w:val="0"/>
        <w:autoSpaceDE w:val="0"/>
        <w:autoSpaceDN w:val="0"/>
        <w:adjustRightInd w:val="0"/>
        <w:spacing w:after="0" w:line="240" w:lineRule="auto"/>
        <w:rPr>
          <w:rFonts w:ascii="Times New Roman CYR" w:hAnsi="Times New Roman CYR" w:cs="Times New Roman CYR"/>
          <w:sz w:val="16"/>
          <w:szCs w:val="16"/>
        </w:rPr>
      </w:pPr>
    </w:p>
    <w:p w:rsidR="006E1E25" w:rsidRDefault="006E1E25" w:rsidP="006E1E2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ІІ. Дані про дату та місце оприлюднення Повідомлення (Повідомлення про інформацію) </w:t>
      </w:r>
    </w:p>
    <w:p w:rsidR="006E1E25" w:rsidRPr="00E2435A" w:rsidRDefault="006E1E25" w:rsidP="006E1E25">
      <w:pPr>
        <w:widowControl w:val="0"/>
        <w:autoSpaceDE w:val="0"/>
        <w:autoSpaceDN w:val="0"/>
        <w:adjustRightInd w:val="0"/>
        <w:spacing w:after="0" w:line="240" w:lineRule="auto"/>
        <w:jc w:val="center"/>
        <w:rPr>
          <w:rFonts w:ascii="Times New Roman CYR" w:hAnsi="Times New Roman CYR" w:cs="Times New Roman CYR"/>
          <w:b/>
          <w:bCs/>
          <w:sz w:val="16"/>
          <w:szCs w:val="16"/>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2000"/>
      </w:tblGrid>
      <w:tr w:rsidR="006E1E25" w:rsidTr="009B58D6">
        <w:tblPrEx>
          <w:tblCellMar>
            <w:top w:w="0" w:type="dxa"/>
            <w:bottom w:w="0" w:type="dxa"/>
          </w:tblCellMar>
        </w:tblPrEx>
        <w:trPr>
          <w:trHeight w:val="300"/>
        </w:trPr>
        <w:tc>
          <w:tcPr>
            <w:tcW w:w="4450" w:type="dxa"/>
            <w:vMerge w:val="restart"/>
            <w:tcBorders>
              <w:top w:val="nil"/>
              <w:left w:val="nil"/>
              <w:bottom w:val="nil"/>
              <w:right w:val="nil"/>
            </w:tcBorders>
          </w:tcPr>
          <w:p w:rsidR="006E1E25" w:rsidRDefault="006E1E25" w:rsidP="009B58D6">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Повідомлення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http://cherkasykhimvolokno.emitents.net.ua/ua/docs/?fg_id=27</w:t>
            </w:r>
          </w:p>
        </w:tc>
        <w:tc>
          <w:tcPr>
            <w:tcW w:w="2000" w:type="dxa"/>
            <w:tcBorders>
              <w:top w:val="nil"/>
              <w:left w:val="nil"/>
              <w:bottom w:val="single" w:sz="6" w:space="0" w:color="auto"/>
              <w:right w:val="nil"/>
            </w:tcBorders>
            <w:vAlign w:val="bottom"/>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29.10.2021</w:t>
            </w:r>
          </w:p>
        </w:tc>
      </w:tr>
      <w:tr w:rsidR="006E1E25" w:rsidTr="009B58D6">
        <w:tblPrEx>
          <w:tblCellMar>
            <w:top w:w="0" w:type="dxa"/>
            <w:bottom w:w="0" w:type="dxa"/>
          </w:tblCellMar>
        </w:tblPrEx>
        <w:trPr>
          <w:trHeight w:val="300"/>
        </w:trPr>
        <w:tc>
          <w:tcPr>
            <w:tcW w:w="4450" w:type="dxa"/>
            <w:vMerge/>
            <w:tcBorders>
              <w:top w:val="nil"/>
              <w:left w:val="nil"/>
              <w:bottom w:val="nil"/>
              <w:right w:val="nil"/>
            </w:tcBorders>
          </w:tcPr>
          <w:p w:rsidR="006E1E25" w:rsidRDefault="006E1E25" w:rsidP="009B58D6">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веб-сайту)</w:t>
            </w:r>
          </w:p>
        </w:tc>
        <w:tc>
          <w:tcPr>
            <w:tcW w:w="2000" w:type="dxa"/>
            <w:tcBorders>
              <w:top w:val="nil"/>
              <w:left w:val="nil"/>
              <w:bottom w:val="nil"/>
              <w:right w:val="nil"/>
            </w:tcBorders>
            <w:vAlign w:val="bottom"/>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6E1E25" w:rsidRDefault="006E1E25" w:rsidP="006E1E25">
      <w:pPr>
        <w:widowControl w:val="0"/>
        <w:autoSpaceDE w:val="0"/>
        <w:autoSpaceDN w:val="0"/>
        <w:adjustRightInd w:val="0"/>
        <w:spacing w:after="0" w:line="240" w:lineRule="auto"/>
        <w:rPr>
          <w:rFonts w:ascii="Times New Roman CYR" w:hAnsi="Times New Roman CYR" w:cs="Times New Roman CYR"/>
          <w:sz w:val="20"/>
          <w:szCs w:val="20"/>
        </w:rPr>
        <w:sectPr w:rsidR="006E1E25">
          <w:pgSz w:w="12240" w:h="15840"/>
          <w:pgMar w:top="850" w:right="850" w:bottom="850" w:left="850" w:header="720" w:footer="720" w:gutter="0"/>
          <w:cols w:space="720"/>
          <w:noEndnote/>
        </w:sectPr>
      </w:pPr>
    </w:p>
    <w:p w:rsidR="006E1E25" w:rsidRDefault="006E1E25" w:rsidP="006E1E2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Відомості про прийняття рішення про надання згоди на вчинення значних правочинів</w:t>
      </w:r>
    </w:p>
    <w:p w:rsidR="006E1E25" w:rsidRDefault="006E1E25" w:rsidP="006E1E25">
      <w:pPr>
        <w:widowControl w:val="0"/>
        <w:autoSpaceDE w:val="0"/>
        <w:autoSpaceDN w:val="0"/>
        <w:adjustRightInd w:val="0"/>
        <w:spacing w:after="0" w:line="240" w:lineRule="auto"/>
        <w:jc w:val="center"/>
        <w:rPr>
          <w:rFonts w:ascii="Times New Roman CYR" w:hAnsi="Times New Roman CYR" w:cs="Times New Roman CYR"/>
          <w:sz w:val="24"/>
          <w:szCs w:val="24"/>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762"/>
        <w:gridCol w:w="1800"/>
        <w:gridCol w:w="1900"/>
        <w:gridCol w:w="2000"/>
        <w:gridCol w:w="2000"/>
        <w:gridCol w:w="2000"/>
      </w:tblGrid>
      <w:tr w:rsidR="006E1E25" w:rsidTr="009B58D6">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з/п</w:t>
            </w:r>
          </w:p>
        </w:tc>
        <w:tc>
          <w:tcPr>
            <w:tcW w:w="18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прийняття рішення</w:t>
            </w:r>
          </w:p>
        </w:tc>
        <w:tc>
          <w:tcPr>
            <w:tcW w:w="19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Ринкова вартість майна або послуг, що є предметом правочину (тис.грн)</w:t>
            </w:r>
          </w:p>
        </w:tc>
        <w:tc>
          <w:tcPr>
            <w:tcW w:w="20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Вартість активів емітента за даними останньої річної фінансової звітності (тис.грн)</w:t>
            </w:r>
          </w:p>
        </w:tc>
        <w:tc>
          <w:tcPr>
            <w:tcW w:w="20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w:t>
            </w:r>
          </w:p>
        </w:tc>
        <w:tc>
          <w:tcPr>
            <w:tcW w:w="2000" w:type="dxa"/>
            <w:tcBorders>
              <w:top w:val="single" w:sz="6" w:space="0" w:color="auto"/>
              <w:left w:val="single" w:sz="6" w:space="0" w:color="auto"/>
              <w:bottom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URL-адреса сторінки власного веб-сайту, на якій розміщений витяг з протоколу загальних зборів акціонерів / засідання наглядової ради, на яких/якому прийняте рішення</w:t>
            </w:r>
          </w:p>
        </w:tc>
      </w:tr>
      <w:tr w:rsidR="006E1E25" w:rsidTr="009B58D6">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19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2000" w:type="dxa"/>
            <w:tcBorders>
              <w:top w:val="single" w:sz="6" w:space="0" w:color="auto"/>
              <w:left w:val="single" w:sz="6" w:space="0" w:color="auto"/>
              <w:bottom w:val="single" w:sz="6" w:space="0" w:color="auto"/>
            </w:tcBorders>
            <w:vAlign w:val="center"/>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r>
      <w:tr w:rsidR="006E1E25" w:rsidTr="009B58D6">
        <w:tblPrEx>
          <w:tblCellMar>
            <w:top w:w="0" w:type="dxa"/>
            <w:bottom w:w="0" w:type="dxa"/>
          </w:tblCellMar>
        </w:tblPrEx>
        <w:trPr>
          <w:trHeight w:val="300"/>
        </w:trPr>
        <w:tc>
          <w:tcPr>
            <w:tcW w:w="762" w:type="dxa"/>
            <w:tcBorders>
              <w:top w:val="single" w:sz="6" w:space="0" w:color="auto"/>
              <w:bottom w:val="single" w:sz="6" w:space="0" w:color="auto"/>
              <w:right w:val="single" w:sz="6" w:space="0" w:color="auto"/>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800" w:type="dxa"/>
            <w:tcBorders>
              <w:top w:val="single" w:sz="6" w:space="0" w:color="auto"/>
              <w:left w:val="single" w:sz="6" w:space="0" w:color="auto"/>
              <w:bottom w:val="single" w:sz="6" w:space="0" w:color="auto"/>
              <w:right w:val="single" w:sz="6" w:space="0" w:color="auto"/>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29.10.2021</w:t>
            </w:r>
          </w:p>
        </w:tc>
        <w:tc>
          <w:tcPr>
            <w:tcW w:w="1900" w:type="dxa"/>
            <w:tcBorders>
              <w:top w:val="single" w:sz="6" w:space="0" w:color="auto"/>
              <w:left w:val="single" w:sz="6" w:space="0" w:color="auto"/>
              <w:bottom w:val="single" w:sz="6" w:space="0" w:color="auto"/>
              <w:right w:val="single" w:sz="6" w:space="0" w:color="auto"/>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1 756 310</w:t>
            </w:r>
          </w:p>
        </w:tc>
        <w:tc>
          <w:tcPr>
            <w:tcW w:w="2000" w:type="dxa"/>
            <w:tcBorders>
              <w:top w:val="single" w:sz="6" w:space="0" w:color="auto"/>
              <w:left w:val="single" w:sz="6" w:space="0" w:color="auto"/>
              <w:bottom w:val="single" w:sz="6" w:space="0" w:color="auto"/>
              <w:right w:val="single" w:sz="6" w:space="0" w:color="auto"/>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878 155</w:t>
            </w:r>
          </w:p>
        </w:tc>
        <w:tc>
          <w:tcPr>
            <w:tcW w:w="2000" w:type="dxa"/>
            <w:tcBorders>
              <w:top w:val="single" w:sz="6" w:space="0" w:color="auto"/>
              <w:left w:val="single" w:sz="6" w:space="0" w:color="auto"/>
              <w:bottom w:val="single" w:sz="6" w:space="0" w:color="auto"/>
              <w:right w:val="single" w:sz="6" w:space="0" w:color="auto"/>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200</w:t>
            </w:r>
          </w:p>
        </w:tc>
        <w:tc>
          <w:tcPr>
            <w:tcW w:w="2000" w:type="dxa"/>
            <w:tcBorders>
              <w:top w:val="single" w:sz="6" w:space="0" w:color="auto"/>
              <w:left w:val="single" w:sz="6" w:space="0" w:color="auto"/>
              <w:bottom w:val="single" w:sz="6" w:space="0" w:color="auto"/>
            </w:tcBorders>
          </w:tcPr>
          <w:p w:rsidR="006E1E25" w:rsidRDefault="006E1E25" w:rsidP="009B58D6">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http://www.khimvolokno.com.ua</w:t>
            </w:r>
          </w:p>
        </w:tc>
      </w:tr>
      <w:tr w:rsidR="006E1E25" w:rsidTr="009B58D6">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6E1E25" w:rsidRDefault="006E1E25" w:rsidP="009B58D6">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Зміст інформації:</w:t>
            </w:r>
          </w:p>
        </w:tc>
      </w:tr>
      <w:tr w:rsidR="006E1E25" w:rsidTr="009B58D6">
        <w:tblPrEx>
          <w:tblCellMar>
            <w:top w:w="0" w:type="dxa"/>
            <w:bottom w:w="0" w:type="dxa"/>
          </w:tblCellMar>
        </w:tblPrEx>
        <w:trPr>
          <w:trHeight w:val="300"/>
        </w:trPr>
        <w:tc>
          <w:tcPr>
            <w:tcW w:w="10462" w:type="dxa"/>
            <w:gridSpan w:val="6"/>
            <w:tcBorders>
              <w:top w:val="single" w:sz="6" w:space="0" w:color="auto"/>
              <w:bottom w:val="single" w:sz="6" w:space="0" w:color="auto"/>
            </w:tcBorders>
            <w:vAlign w:val="center"/>
          </w:tcPr>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Позачерговими загальними зборами акціонерів ПРАТ "Черкаське хiмволокно", які проваедені дистанційно 25.10.2021 р., з метою забезпечення безперебійної роботи товариства було прийнято рішення про попередне надання згоди на вчинення значних правочинів (протокол №33 від 29.10.2021 р.) Правлінню ПРАТ "ЧЕРКАСЬКЕ ХІМВОЛОКНО", які можуть вчинятися Товариством у ході поточної господарської діяльності,  протягом одного року з дня проведення Плзачергових Загальних зборів товариства, якщо ринкова вартість майна або послуг, що є предметом значного правочину, перевищує 25 відсотків вартості активів за даними останньої річної фінансової звітності за 2020 рік, а саме:</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правочинів з придбання товарів, робіт, послуг, зокрема але не виключно, природного газу, вугілля - сукупна вартість таких значних угод не повинна перевищувати суми подвійної вартості активів товариства (1 756310  тис.грн.).</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правочинів, направлених на отримання грошових коштів (укладання договорів позик та/або кредитів), з фінансовими установами, забезпечення виконання зобов'язань за такими договорами (гарантій, застави чи інших фінансових інструментів), забезпечення виконання зобов'язань інших юридичних осіб за договорами позик та/або кредитів, гарантій, застави чи інших фінансових інструментів шляхом укладення Товариством договорів поруки, гарантій, застави майна (майнових прав) та грошових коштів Товариства.- сукупна вартість таких значних угод не повинна перевищувати суми подвійної вартості активів товариства (1 756310 тис.грн.).</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Вартість активів емітента за даними останньої річної фінансової звітності за 2020 рік становить 878155 тис. грн.</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Гранична сукупність вартості правочинів - 1 756310  тис. грн.</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Співвідношення граничної сукупністі вартості правочинів до вартісті активів емітента за даними останньої річної фінансової звітності за 2020 рік (відсотках) - 200,0%.</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Затвердження укладених з АТ "АЛЬФА-БАНК" (надалі також -Банк): додаткової  угоди №10 від  09.07.2021 до Договору про відкриття кредитної  лінії № 65-МВ/17 від 04.09.2017; додаткових угод до Договору  про  відкриття кредитної  лінії №  65-МВ/17 від 04.09.2017 (про надання траншів), укладених у період з 09.07.2021 р. і до дати проведення цих загальних зборів акціонерів та надання повноважень Голові правління на подальшу зміну умов Договору про відкриття кредитної  лінії № 65-МВ/17 від 04.09.2017 та зазначених вище додаткових угод до нього;</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Уповноважити Голову Правління  або уповноважену ним особу на власний розсуд змінювати умови викладені у вищезазначених додаткових угодах  про   надання  траншу/траншів  та  у вищезазначеній  додатковій  угоді  до  договору  про  відкриття кредитної  лінії  та  умови вказаного  договору про відкриття кредитної лінії (далі-договір), в тому числі графік  зміни  ліміту  кредитної  лінії,  визначений у договорі  та інші умови пов'язані з будь-якими змінами обсягу відповідальності Товариства за даним договором, зокрема, але не виключно, вносити до договору будь-які зміни, внаслідок яких збільшується або зменшується розмір  ліміту  кредитної лінії, але в будь-якому разі в  результаті  таких змін розмір   ліміту  кредитної лінії не повинен перевищувати 40 000 000, 00 гривень   та/або вносити до договору будь-які зміни  внаслідок яких збільшується або зменшується розмір  частини (траншу) кредитної лінії, що надається Товариству, та/або строк  погашення частини кредиту та/або розмір  частини кредиту, що  підлягає  погашенню та/або  збільшується або зменшується розмір процентів за користування кредитною лінією, та/або розмір процентів,  що  нараховуються  на  прострочену суму  кредиту та/або розмір комісійних винагород, та/або розмір неустойки (пені, штрафів), та/або розмір будь-яких інших платежів, які Товариство згідно з договором повинно сплачувати Банку, змінювати строк користування частиною (траншем) кредитної лінії та будь-які інші умови  договору, при цьому укладені додаткові угоди (угоди про внесення змін)  про внесення вищезазначених змін не потребують окремого рішення загальних зборів акціонерів  на  їх  внесення  та про їх подальше затвердження. Крім цього, уповноважити Голову правління або уповноважену ним особу на укладення та підписання додаткових угод до договору про надання траншів у межах кредитної лінії без їх окремого погодження та  затвердження загальними зборами акціонерів, з визначенням умов цих угод  на  власний розсуд.</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При цьому, усі додаткові угоди про надання траншів в межах договору, які були  укладені Товариством у період з 09.07.2021 р. і до дати проведення цих загальних зборів акціонерів є затвердженими загальними зборами акціонерів, а також такими, що створюють для Товариства відповідні правові наслідки.</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lastRenderedPageBreak/>
              <w:t>2.Затвердження укладених з АТ "АЛЬФА-БАНК": додаткової угоди № 4  від  09.07.2021 до Договору застави рухомого майна №388/17 від 04.09.2017р., додаткової  угоди № 4  від 09.07.2021 до Договору застави товарів  в обороті №387/17 від 04.09.2017р., додаткової угоди №7 від 09.07.2021 до Договору поруки №202-П/17 від 04.09.2017р.,   додаткової угоди  №4  від 09.07.2021  до  Договору поруки  №207-П/17 від 04.09.2017р.,   додаткової угоди  № 7  від 09.07.2021  до  Договору поруки  №193-П/17 від 04.09.2017р. та надання повноважень Голові правління на подальшу зміну умов зазначених вище договорів застави та поруки та вказаних вище додаткових угод до них.</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Усі зазначені вище договори застави та поруки, до яких були внесені зміни додатковими угодами, що затверджуються цим рішенням загальних зборів акціонерів Товариства, надалі за текстом цього рішення іменуються "договори застави та поруки".</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2.1.Уповноважити Голову Правління  або уповноважену ним особу на власний розсуд змінювати умови викладені в   вищезазначених  додаткових  угодах  до   договорів  застави та поруки та в  вищезазначених договорах  застави та  поруки,  умови пов'язані з будь-якими змінами обсягу відповідальності Товариства  за Договором  про  відкриття кредитної  лінії  №  65-МВ/17   від 04.09.2017 (далі - Основний договір-1) та з будь-якими змінами обсягу відповідальності  Товариства  з  обмеженою відповідальністю "ЄВРО-РЕКОНСТРУКЦІЯ" (надалі- Боржник-1) за  договором про  відкриття  кредитної лінії №64-МВ/17 від  04.09.2017 (надалі - Основний договір-2),  та з будь-якими змінами обсягу відповідальності Товариства  з  обмеженою відповідальністю ФІРМА "ТЕХНОВА"  (надалі- Боржник-2) за  договором про  відкриття  кредитної лінії №62-МВ/17 від 04.09.2017 (надалі - Основний договір-3), та з будь-якими змінами обсягу відповідальності  Товариства з обмеженою відповідальністю "Сумитеплоенерго" (надалі- Боржник-3) за  договором про  відкриття  кредитної лінії №66-МВ/17 від  04.09.2017 (надалі - Основний договір-4), в тому числі вносити до договорів застави та поруки такі зміни, внаслідок яких відбудеться збільшення обсягу відповідальності Товариства за договорами   застави та поруки (усіма разом  або  за будь-яким  з них окремо),  зокрема, але не виключно надати згоду на забезпечення заставою та порукою, Основного договору-1, Основного договору-2, Основного договору-3, Основного договору-4 (надалі -  разом Основні договори) з урахуванням будь-яких майбутніх змін внаслідок яких, збільшується  або зменшується строк  погашення та/або розмір  частини кредиту, що  підлягає  погашенню, відповідно до  яких змінюється  графік  зміни  ліміту  кредитної  лінії, збільшується  та/або  зменшується   розмір  ліміту  кредитної лінії, визначений  в Основних договорах,   але в будь-якому разі в  результаті  таких змін розмір   ліміту  кредитної лінії  за Основним договором-1 не повинен перевищувати 40 000 000, 00 гривень, за  Основним договором-2 - не повинен перевищувати 165 000 000,00 гривень,  за Основним договором-3   не  повинен перевищувати  170 000 000, 00 гривень, за  Основним договором-4  - не  повинен перевищувати  10 000 000,00 гривень,  та/або  будь-яких змін Основних договорів    внаслідок  яких  збільшується  або зменшується  розмір  частини (траншу) кредитної лінії, та/або строк погашення частини кредиту та/або  розмір  частини кредиту, що  підлягає  погашенню, та/або розмір процентів за користування кредитною лінією, та/або розмір процентів, що нараховуються на прострочену суму кредиту, та/або розмір комісійних винагород, та/або розмір неустойки (пені, штрафів), та/або розмір будь-яких інших платежів, які Товариство, Боржник-1, Боржник-2, Боржник-3, згідно з  відповідними Основними договорами повинні сплачувати Банку, змінюється строк  користування  частиною (траншем) кредитної лінії,  та змінюються інші умови Основних договорів, виконання яких забезпечено договорами  застави та поруки та змінювати інші умови  договорів  застави та поруки.</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Також, уповноважити Голову правління  або уповноважену ним особу укладати та  підписувати будь-які додаткові  угоди  до  договорів застави та поруки ( в тому   числі  у зв'язку з  внесенням   вказаних  вище змін) ,  при цьому укладені додаткові угоди (угоди про внесення змін)  про внесення змін не потребують окремого рішення загальних зборів акціонерів  на  їх укладення та  про їх подальше затвердження.</w:t>
            </w:r>
          </w:p>
          <w:p w:rsidR="006E1E25" w:rsidRDefault="006E1E25" w:rsidP="009B58D6">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Загальна кількість простих іменних акцій Товариства становить 525 432 400 штук, загальна кількість голосуючих акцій Товариства становить 485 181 955 штук, кількість голосуючих акцій, що зареєстровані для участі у позачергових загальних зборах 471 644 087 шт., кількість голосуючих акцій, що проголосували "за" - 471 644 087, кількість голосуючих акцій, що проголосували "проти"  - 0 шт., рішення прийнято.</w:t>
            </w:r>
          </w:p>
        </w:tc>
      </w:tr>
    </w:tbl>
    <w:p w:rsidR="006E1E25" w:rsidRDefault="006E1E25" w:rsidP="006E1E25">
      <w:pPr>
        <w:widowControl w:val="0"/>
        <w:autoSpaceDE w:val="0"/>
        <w:autoSpaceDN w:val="0"/>
        <w:adjustRightInd w:val="0"/>
        <w:spacing w:after="0" w:line="240" w:lineRule="auto"/>
        <w:rPr>
          <w:rFonts w:ascii="Times New Roman CYR" w:hAnsi="Times New Roman CYR" w:cs="Times New Roman CYR"/>
          <w:sz w:val="20"/>
          <w:szCs w:val="20"/>
        </w:rPr>
      </w:pPr>
    </w:p>
    <w:p w:rsidR="00597A95" w:rsidRDefault="006E1E25"/>
    <w:sectPr w:rsidR="00597A95" w:rsidSect="006E1E25">
      <w:pgSz w:w="12240" w:h="15840"/>
      <w:pgMar w:top="567" w:right="794" w:bottom="794" w:left="136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6E1E25"/>
    <w:rsid w:val="0046326F"/>
    <w:rsid w:val="006E1E25"/>
    <w:rsid w:val="00865E15"/>
    <w:rsid w:val="00EE5B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E2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1885</Words>
  <Characters>10751</Characters>
  <Application>Microsoft Office Word</Application>
  <DocSecurity>0</DocSecurity>
  <Lines>89</Lines>
  <Paragraphs>25</Paragraphs>
  <ScaleCrop>false</ScaleCrop>
  <Company>***</Company>
  <LinksUpToDate>false</LinksUpToDate>
  <CharactersWithSpaces>12611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FEM</dc:creator>
  <cp:keywords/>
  <dc:description/>
  <cp:lastModifiedBy>FEM</cp:lastModifiedBy>
  <cp:revision>1</cp:revision>
  <dcterms:created xsi:type="dcterms:W3CDTF">2021-10-29T11:28:00Z</dcterms:created>
  <dcterms:modified xsi:type="dcterms:W3CDTF">2021-10-29T11:30:00Z</dcterms:modified>
</cp:coreProperties>
</file>